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" w:cs="仿宋_GB2312"/>
          <w:b/>
          <w:bCs/>
          <w:sz w:val="32"/>
          <w:szCs w:val="32"/>
        </w:rPr>
        <w:t>国家税务总局阿拉尔税务局稽查局2019年第一批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" w:cs="仿宋_GB2312"/>
          <w:b/>
          <w:bCs/>
          <w:sz w:val="32"/>
          <w:szCs w:val="32"/>
        </w:rPr>
        <w:t>随机抽查事项清单</w:t>
      </w:r>
    </w:p>
    <w:tbl>
      <w:tblPr>
        <w:tblStyle w:val="4"/>
        <w:tblpPr w:leftFromText="180" w:rightFromText="180" w:vertAnchor="text" w:horzAnchor="margin" w:tblpY="41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74"/>
        <w:gridCol w:w="993"/>
        <w:gridCol w:w="1134"/>
        <w:gridCol w:w="194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公示事项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随机抽查项目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税务稽查随机抽查（2019年第一批）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随机抽查依据</w:t>
            </w:r>
          </w:p>
        </w:tc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19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" w:cs="仿宋_GB2312"/>
                <w:snapToGrid w:val="0"/>
                <w:sz w:val="24"/>
              </w:rPr>
              <w:t>《推进税务稽查随机抽查实施方案》（税总发〔2015〕104号）</w:t>
            </w:r>
          </w:p>
        </w:tc>
        <w:tc>
          <w:tcPr>
            <w:tcW w:w="23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根据新疆</w:t>
            </w:r>
            <w:r>
              <w:rPr>
                <w:rFonts w:hint="eastAsia" w:ascii="仿宋_GB2312" w:hAnsi="仿宋_GB2312" w:eastAsia="仿宋" w:cs="仿宋_GB2312"/>
                <w:sz w:val="24"/>
                <w:lang w:val="en-US" w:eastAsia="zh-CN"/>
              </w:rPr>
              <w:t>维吾尔</w:t>
            </w:r>
            <w:bookmarkStart w:id="0" w:name="_GoBack"/>
            <w:bookmarkEnd w:id="0"/>
            <w:r>
              <w:rPr>
                <w:rFonts w:hint="eastAsia" w:ascii="仿宋_GB2312" w:hAnsi="仿宋_GB2312" w:eastAsia="仿宋" w:cs="仿宋_GB2312"/>
                <w:sz w:val="24"/>
              </w:rPr>
              <w:t>自治区人民政府《关于印发推广随机抽查规范事中事后监管的通知》（新政办发〔2016〕17号文）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随机抽查主体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ind w:firstLine="480" w:firstLineChars="200"/>
              <w:jc w:val="both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napToGrid w:val="0"/>
                <w:sz w:val="24"/>
              </w:rPr>
              <w:t>国家税务总局阿拉尔税务局稽查局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随机抽查方式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ind w:firstLine="480" w:firstLineChars="200"/>
              <w:jc w:val="both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采取定向抽取方式，从“税务稽查双随机工作平台—随机抽查对象名录库”中，随机抽取抽查对象。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随机抽查对象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ind w:firstLine="480" w:firstLineChars="200"/>
              <w:jc w:val="both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随机抽查内容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ind w:firstLine="480" w:firstLineChars="200"/>
              <w:jc w:val="both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检查所属期间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ind w:firstLine="480" w:firstLineChars="200"/>
              <w:jc w:val="both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2014年1月1日-2016年12月31日,2016年1月1日-2017年12月31日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检查手段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widowControl w:val="0"/>
              <w:adjustRightInd/>
              <w:snapToGrid/>
              <w:ind w:firstLine="480" w:firstLineChars="200"/>
              <w:jc w:val="both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检查纳税人的账簿、记账凭证、报表和有关资料，检查扣缴义务人代扣代缴、代收代缴税款账簿、记账凭证和有关资料。到纳税人的生产、经营场所和货物存放地检查纳税人应纳税的商品、货物或者其他财产，询问纳税人、扣缴义务人与纳税或者代扣代缴、代收代缴税款有关的问题和情况。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税务机关依法进行税务检查时，有权向有关单位和个人调查纳税人、扣缴义务人和其他当事人与纳税或者代扣代缴、代收代缴税款有关的情况，有关单位和个人有义务向税务机关如实提供有关资料及证明材料。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随机抽查结果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纳税人识别号</w:t>
            </w:r>
          </w:p>
        </w:tc>
        <w:tc>
          <w:tcPr>
            <w:tcW w:w="5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ascii="宋体" w:hAnsi="宋体" w:eastAsia="仿宋" w:cs="宋体"/>
                <w:sz w:val="24"/>
              </w:rPr>
              <w:t>916590020106288974</w:t>
            </w:r>
          </w:p>
        </w:tc>
        <w:tc>
          <w:tcPr>
            <w:tcW w:w="5470" w:type="dxa"/>
            <w:gridSpan w:val="3"/>
            <w:vAlign w:val="center"/>
          </w:tcPr>
          <w:p>
            <w:pPr>
              <w:widowControl w:val="0"/>
              <w:adjustRightInd/>
              <w:snapToGrid/>
              <w:ind w:firstLine="480" w:firstLineChars="200"/>
              <w:jc w:val="both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新疆生产建设兵团第一师三团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ascii="宋体" w:hAnsi="宋体" w:eastAsia="仿宋" w:cs="宋体"/>
                <w:sz w:val="24"/>
              </w:rPr>
              <w:t>91659002MA775WYK0C</w:t>
            </w:r>
          </w:p>
        </w:tc>
        <w:tc>
          <w:tcPr>
            <w:tcW w:w="5470" w:type="dxa"/>
            <w:gridSpan w:val="3"/>
            <w:vAlign w:val="center"/>
          </w:tcPr>
          <w:p>
            <w:pPr>
              <w:widowControl w:val="0"/>
              <w:adjustRightInd/>
              <w:snapToGrid/>
              <w:ind w:firstLine="480" w:firstLineChars="200"/>
              <w:jc w:val="both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阿拉尔市恒蔬无疆农业发展有限公司</w:t>
            </w:r>
          </w:p>
        </w:tc>
      </w:tr>
    </w:tbl>
    <w:p>
      <w:pPr>
        <w:widowControl w:val="0"/>
        <w:adjustRightInd/>
        <w:snapToGrid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220" w:lineRule="atLeast"/>
        <w:rPr>
          <w:rFonts w:eastAsia="仿宋"/>
        </w:rPr>
      </w:pPr>
    </w:p>
    <w:sectPr>
      <w:pgSz w:w="11906" w:h="16838"/>
      <w:pgMar w:top="1814" w:right="1588" w:bottom="170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3688"/>
    <w:rsid w:val="00120B0D"/>
    <w:rsid w:val="00323B43"/>
    <w:rsid w:val="0033578F"/>
    <w:rsid w:val="003D37D8"/>
    <w:rsid w:val="003E4539"/>
    <w:rsid w:val="00426133"/>
    <w:rsid w:val="004358AB"/>
    <w:rsid w:val="004F442D"/>
    <w:rsid w:val="00504E0D"/>
    <w:rsid w:val="005A1C87"/>
    <w:rsid w:val="006C59D0"/>
    <w:rsid w:val="007C71F5"/>
    <w:rsid w:val="0089646B"/>
    <w:rsid w:val="008B7726"/>
    <w:rsid w:val="00A9542D"/>
    <w:rsid w:val="00B35994"/>
    <w:rsid w:val="00C96527"/>
    <w:rsid w:val="00D31D50"/>
    <w:rsid w:val="17A66749"/>
    <w:rsid w:val="3B3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1232</Characters>
  <Lines>10</Lines>
  <Paragraphs>2</Paragraphs>
  <TotalTime>94</TotalTime>
  <ScaleCrop>false</ScaleCrop>
  <LinksUpToDate>false</LinksUpToDate>
  <CharactersWithSpaces>1446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Bgs</cp:lastModifiedBy>
  <dcterms:modified xsi:type="dcterms:W3CDTF">2024-09-03T10:47:26Z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