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A6C" w:rsidRDefault="00356BA4">
      <w:pPr>
        <w:widowControl/>
        <w:tabs>
          <w:tab w:val="center" w:pos="4153"/>
          <w:tab w:val="left" w:pos="6771"/>
        </w:tabs>
        <w:wordWrap w:val="0"/>
        <w:spacing w:beforeLines="100" w:before="332" w:afterLines="100" w:after="332" w:line="360" w:lineRule="auto"/>
        <w:jc w:val="center"/>
        <w:outlineLvl w:val="0"/>
        <w:rPr>
          <w:rFonts w:eastAsia="黑体" w:cs="Times New Roman"/>
          <w:b/>
          <w:bCs/>
          <w:color w:val="000000" w:themeColor="text1"/>
          <w:kern w:val="24"/>
          <w:sz w:val="36"/>
          <w:szCs w:val="36"/>
        </w:rPr>
      </w:pPr>
      <w:bookmarkStart w:id="0" w:name="_Toc25672"/>
      <w:r>
        <w:rPr>
          <w:rFonts w:eastAsia="黑体" w:cs="Times New Roman" w:hint="eastAsia"/>
          <w:b/>
          <w:bCs/>
          <w:color w:val="000000" w:themeColor="text1"/>
          <w:kern w:val="24"/>
          <w:sz w:val="36"/>
          <w:szCs w:val="36"/>
        </w:rPr>
        <w:t>13</w:t>
      </w:r>
      <w:r>
        <w:rPr>
          <w:rFonts w:eastAsia="黑体" w:cs="Times New Roman"/>
          <w:b/>
          <w:bCs/>
          <w:color w:val="000000" w:themeColor="text1"/>
          <w:kern w:val="24"/>
          <w:sz w:val="36"/>
          <w:szCs w:val="36"/>
        </w:rPr>
        <w:t xml:space="preserve">　纳税服务投诉</w:t>
      </w:r>
      <w:bookmarkEnd w:id="0"/>
      <w:r>
        <w:rPr>
          <w:rFonts w:eastAsia="黑体" w:cs="Times New Roman" w:hint="eastAsia"/>
          <w:b/>
          <w:bCs/>
          <w:color w:val="000000" w:themeColor="text1"/>
          <w:kern w:val="24"/>
          <w:sz w:val="36"/>
          <w:szCs w:val="36"/>
        </w:rPr>
        <w:t>指南</w:t>
      </w:r>
    </w:p>
    <w:p w:rsidR="005B4A6C" w:rsidRDefault="00356BA4">
      <w:pPr>
        <w:widowControl/>
        <w:wordWrap w:val="0"/>
        <w:spacing w:line="360" w:lineRule="auto"/>
        <w:ind w:firstLine="480"/>
        <w:rPr>
          <w:rFonts w:eastAsia="楷体_GB2312"/>
          <w:color w:val="000000" w:themeColor="text1"/>
          <w:kern w:val="24"/>
          <w:sz w:val="24"/>
          <w:szCs w:val="24"/>
        </w:rPr>
      </w:pPr>
      <w:r>
        <w:rPr>
          <w:rFonts w:eastAsia="楷体_GB2312" w:hint="eastAsia"/>
          <w:color w:val="000000" w:themeColor="text1"/>
          <w:kern w:val="24"/>
          <w:sz w:val="24"/>
          <w:szCs w:val="24"/>
        </w:rPr>
        <w:t>纳税服务投诉指南是指税务机关为维护纳税人（含缴费人、扣缴义务人和其他当事人）的合法权益，规范纳税服务投诉管理，提高投诉办理效率所制定的服务指南，包括纳税服务投诉处理</w:t>
      </w:r>
      <w:r>
        <w:rPr>
          <w:rFonts w:eastAsia="楷体_GB2312" w:hint="eastAsia"/>
          <w:color w:val="000000" w:themeColor="text1"/>
          <w:kern w:val="24"/>
          <w:sz w:val="24"/>
          <w:szCs w:val="24"/>
        </w:rPr>
        <w:t>1</w:t>
      </w:r>
      <w:r>
        <w:rPr>
          <w:rFonts w:eastAsia="楷体_GB2312" w:hint="eastAsia"/>
          <w:color w:val="000000" w:themeColor="text1"/>
          <w:kern w:val="24"/>
          <w:sz w:val="24"/>
          <w:szCs w:val="24"/>
        </w:rPr>
        <w:t>个事项。</w:t>
      </w:r>
    </w:p>
    <w:p w:rsidR="005B4A6C" w:rsidRDefault="00356BA4">
      <w:pPr>
        <w:widowControl/>
        <w:wordWrap w:val="0"/>
        <w:spacing w:beforeLines="300" w:before="996" w:afterLines="150" w:after="498" w:line="360" w:lineRule="auto"/>
        <w:ind w:firstLine="643"/>
        <w:outlineLvl w:val="1"/>
        <w:rPr>
          <w:rFonts w:eastAsia="黑体" w:cs="Times New Roman"/>
          <w:b/>
          <w:bCs/>
          <w:color w:val="000000" w:themeColor="text1"/>
          <w:sz w:val="32"/>
          <w:szCs w:val="32"/>
        </w:rPr>
      </w:pPr>
      <w:bookmarkStart w:id="1" w:name="_Toc5353"/>
      <w:r>
        <w:rPr>
          <w:rFonts w:eastAsia="黑体" w:cs="Times New Roman" w:hint="eastAsia"/>
          <w:b/>
          <w:bCs/>
          <w:color w:val="000000" w:themeColor="text1"/>
          <w:sz w:val="32"/>
          <w:szCs w:val="32"/>
        </w:rPr>
        <w:t>13.1</w:t>
      </w:r>
      <w:r>
        <w:rPr>
          <w:rFonts w:ascii="黑体" w:eastAsia="黑体" w:hAnsi="黑体" w:cs="Times New Roman"/>
          <w:b/>
          <w:bCs/>
          <w:color w:val="000000" w:themeColor="text1"/>
          <w:sz w:val="32"/>
          <w:szCs w:val="32"/>
        </w:rPr>
        <w:t xml:space="preserve">　</w:t>
      </w:r>
      <w:r>
        <w:rPr>
          <w:rFonts w:eastAsia="黑体" w:cs="Times New Roman"/>
          <w:b/>
          <w:bCs/>
          <w:color w:val="000000" w:themeColor="text1"/>
          <w:sz w:val="32"/>
          <w:szCs w:val="32"/>
        </w:rPr>
        <w:t>纳税服务投诉</w:t>
      </w:r>
      <w:bookmarkEnd w:id="1"/>
    </w:p>
    <w:p w:rsidR="005B4A6C" w:rsidRDefault="00356BA4">
      <w:pPr>
        <w:widowControl/>
        <w:wordWrap w:val="0"/>
        <w:spacing w:beforeLines="100" w:before="332" w:afterLines="100" w:after="332" w:line="360" w:lineRule="auto"/>
        <w:ind w:firstLineChars="200" w:firstLine="562"/>
        <w:outlineLvl w:val="2"/>
        <w:rPr>
          <w:rFonts w:eastAsia="黑体" w:cs="Times New Roman"/>
          <w:b/>
          <w:bCs/>
          <w:color w:val="000000" w:themeColor="text1"/>
          <w:kern w:val="24"/>
          <w:sz w:val="28"/>
          <w:szCs w:val="28"/>
        </w:rPr>
      </w:pPr>
      <w:bookmarkStart w:id="2" w:name="_Toc21573"/>
      <w:r>
        <w:rPr>
          <w:rFonts w:eastAsia="黑体" w:cs="Times New Roman" w:hint="eastAsia"/>
          <w:b/>
          <w:bCs/>
          <w:color w:val="000000" w:themeColor="text1"/>
          <w:kern w:val="24"/>
          <w:sz w:val="28"/>
          <w:szCs w:val="28"/>
        </w:rPr>
        <w:t>13.1.1</w:t>
      </w:r>
      <w:r>
        <w:rPr>
          <w:rFonts w:eastAsia="黑体" w:cs="Times New Roman"/>
          <w:b/>
          <w:bCs/>
          <w:color w:val="000000" w:themeColor="text1"/>
          <w:kern w:val="24"/>
          <w:sz w:val="28"/>
          <w:szCs w:val="28"/>
        </w:rPr>
        <w:t>—</w:t>
      </w:r>
      <w:r>
        <w:rPr>
          <w:rFonts w:eastAsia="黑体" w:cs="Times New Roman" w:hint="eastAsia"/>
          <w:b/>
          <w:bCs/>
          <w:color w:val="000000" w:themeColor="text1"/>
          <w:kern w:val="24"/>
          <w:sz w:val="28"/>
          <w:szCs w:val="28"/>
        </w:rPr>
        <w:t>19</w:t>
      </w:r>
      <w:r w:rsidR="00AE7DC6">
        <w:rPr>
          <w:rFonts w:eastAsia="黑体" w:cs="Times New Roman"/>
          <w:b/>
          <w:bCs/>
          <w:color w:val="000000" w:themeColor="text1"/>
          <w:kern w:val="24"/>
          <w:sz w:val="28"/>
          <w:szCs w:val="28"/>
        </w:rPr>
        <w:t>0</w:t>
      </w:r>
      <w:r>
        <w:rPr>
          <w:rFonts w:ascii="黑体" w:eastAsia="黑体" w:hAnsi="黑体" w:cs="Times New Roman"/>
          <w:b/>
          <w:bCs/>
          <w:color w:val="000000" w:themeColor="text1"/>
          <w:kern w:val="24"/>
          <w:sz w:val="28"/>
          <w:szCs w:val="28"/>
        </w:rPr>
        <w:t xml:space="preserve">　</w:t>
      </w:r>
      <w:r>
        <w:rPr>
          <w:rFonts w:eastAsia="黑体" w:cs="Times New Roman"/>
          <w:b/>
          <w:bCs/>
          <w:color w:val="000000" w:themeColor="text1"/>
          <w:kern w:val="24"/>
          <w:sz w:val="28"/>
          <w:szCs w:val="28"/>
        </w:rPr>
        <w:t>纳税服务投诉处理</w:t>
      </w:r>
      <w:bookmarkEnd w:id="2"/>
    </w:p>
    <w:p w:rsidR="005B4A6C" w:rsidRDefault="00356BA4">
      <w:pPr>
        <w:widowControl/>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【事项名称】</w:t>
      </w:r>
    </w:p>
    <w:p w:rsidR="005B4A6C" w:rsidRDefault="00356BA4">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纳税服务投诉处理</w:t>
      </w:r>
    </w:p>
    <w:p w:rsidR="005B4A6C" w:rsidRDefault="00356BA4">
      <w:pPr>
        <w:widowControl/>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w:t>
      </w:r>
      <w:r>
        <w:rPr>
          <w:rFonts w:ascii="黑体" w:eastAsia="黑体" w:hAnsi="黑体" w:cs="Times New Roman" w:hint="eastAsia"/>
          <w:bCs/>
          <w:color w:val="000000" w:themeColor="text1"/>
          <w:sz w:val="24"/>
          <w:szCs w:val="24"/>
        </w:rPr>
        <w:t>申请条件</w:t>
      </w:r>
      <w:r>
        <w:rPr>
          <w:rFonts w:ascii="黑体" w:eastAsia="黑体" w:hAnsi="黑体" w:cs="Times New Roman"/>
          <w:bCs/>
          <w:color w:val="000000" w:themeColor="text1"/>
          <w:sz w:val="24"/>
          <w:szCs w:val="24"/>
        </w:rPr>
        <w:t>】</w:t>
      </w:r>
    </w:p>
    <w:p w:rsidR="005B4A6C" w:rsidRDefault="00356BA4">
      <w:pPr>
        <w:widowControl/>
        <w:wordWrap w:val="0"/>
        <w:spacing w:line="360" w:lineRule="auto"/>
        <w:ind w:firstLine="480"/>
        <w:contextualSpacing/>
        <w:rPr>
          <w:rFonts w:ascii="宋体" w:hAnsi="宋体"/>
          <w:color w:val="000000" w:themeColor="text1"/>
          <w:sz w:val="24"/>
          <w:szCs w:val="24"/>
        </w:rPr>
      </w:pPr>
      <w:r>
        <w:rPr>
          <w:rFonts w:ascii="宋体" w:hAnsi="宋体"/>
          <w:color w:val="000000" w:themeColor="text1"/>
          <w:sz w:val="24"/>
          <w:szCs w:val="24"/>
        </w:rPr>
        <w:t>纳税人认为税务机关及其工作人员在履行纳税服务职责过程中未提供规范、文明的纳税服务或者有其他侵犯其合法权益的情形，向税务机关进行投诉，税务机关进行受理、调查、处理和结果反馈。</w:t>
      </w:r>
    </w:p>
    <w:p w:rsidR="005B4A6C" w:rsidRDefault="00356BA4">
      <w:pPr>
        <w:widowControl/>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【设定依据】</w:t>
      </w:r>
    </w:p>
    <w:p w:rsidR="005B4A6C" w:rsidRDefault="00356BA4">
      <w:pPr>
        <w:widowControl/>
        <w:wordWrap w:val="0"/>
        <w:spacing w:line="360" w:lineRule="auto"/>
        <w:ind w:firstLine="480"/>
        <w:rPr>
          <w:rFonts w:ascii="宋体" w:hAnsi="宋体"/>
          <w:color w:val="000000" w:themeColor="text1"/>
          <w:sz w:val="24"/>
          <w:szCs w:val="24"/>
        </w:rPr>
      </w:pPr>
      <w:r>
        <w:rPr>
          <w:rFonts w:ascii="宋体" w:hAnsi="宋体"/>
          <w:color w:val="000000" w:themeColor="text1"/>
          <w:sz w:val="24"/>
          <w:szCs w:val="24"/>
        </w:rPr>
        <w:t>《国家税务总局关于修订〈纳税服务投诉管理办法〉的公告》（国家税务总局公告</w:t>
      </w:r>
      <w:r>
        <w:rPr>
          <w:rFonts w:cs="Times New Roman" w:hint="eastAsia"/>
          <w:color w:val="000000" w:themeColor="text1"/>
          <w:sz w:val="24"/>
          <w:szCs w:val="24"/>
        </w:rPr>
        <w:t>2019</w:t>
      </w:r>
      <w:r>
        <w:rPr>
          <w:rFonts w:ascii="宋体" w:hAnsi="宋体"/>
          <w:color w:val="000000" w:themeColor="text1"/>
          <w:sz w:val="24"/>
          <w:szCs w:val="24"/>
        </w:rPr>
        <w:t>年第</w:t>
      </w:r>
      <w:r>
        <w:rPr>
          <w:rFonts w:cs="Times New Roman" w:hint="eastAsia"/>
          <w:color w:val="000000" w:themeColor="text1"/>
          <w:sz w:val="24"/>
          <w:szCs w:val="24"/>
        </w:rPr>
        <w:t>27</w:t>
      </w:r>
      <w:r>
        <w:rPr>
          <w:rFonts w:ascii="宋体" w:hAnsi="宋体"/>
          <w:color w:val="000000" w:themeColor="text1"/>
          <w:sz w:val="24"/>
          <w:szCs w:val="24"/>
        </w:rPr>
        <w:t>号）</w:t>
      </w:r>
    </w:p>
    <w:p w:rsidR="005B4A6C" w:rsidRDefault="00356BA4">
      <w:pPr>
        <w:widowControl/>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3537"/>
        <w:gridCol w:w="840"/>
        <w:gridCol w:w="1406"/>
      </w:tblGrid>
      <w:tr w:rsidR="005B4A6C">
        <w:trPr>
          <w:trHeight w:hRule="exact" w:val="397"/>
          <w:jc w:val="center"/>
        </w:trPr>
        <w:tc>
          <w:tcPr>
            <w:tcW w:w="680" w:type="dxa"/>
            <w:shd w:val="clear" w:color="auto" w:fill="D9D9D9"/>
            <w:vAlign w:val="center"/>
          </w:tcPr>
          <w:p w:rsidR="005B4A6C" w:rsidRDefault="00356BA4">
            <w:pPr>
              <w:widowControl/>
              <w:wordWrap w:val="0"/>
              <w:jc w:val="center"/>
              <w:rPr>
                <w:rFonts w:ascii="黑体" w:eastAsia="黑体" w:hAnsi="黑体" w:cs="Times New Roman"/>
                <w:color w:val="000000" w:themeColor="text1"/>
              </w:rPr>
            </w:pPr>
            <w:r>
              <w:rPr>
                <w:rFonts w:ascii="黑体" w:eastAsia="黑体" w:hAnsi="黑体" w:cs="黑体"/>
                <w:color w:val="000000" w:themeColor="text1"/>
              </w:rPr>
              <w:t>序号</w:t>
            </w:r>
          </w:p>
        </w:tc>
        <w:tc>
          <w:tcPr>
            <w:tcW w:w="5238" w:type="dxa"/>
            <w:gridSpan w:val="2"/>
            <w:shd w:val="clear" w:color="auto" w:fill="D9D9D9"/>
            <w:vAlign w:val="center"/>
          </w:tcPr>
          <w:p w:rsidR="005B4A6C" w:rsidRDefault="00356BA4">
            <w:pPr>
              <w:widowControl/>
              <w:wordWrap w:val="0"/>
              <w:jc w:val="center"/>
              <w:rPr>
                <w:rFonts w:ascii="黑体" w:eastAsia="黑体" w:hAnsi="黑体" w:cs="Times New Roman"/>
                <w:color w:val="000000" w:themeColor="text1"/>
              </w:rPr>
            </w:pPr>
            <w:r>
              <w:rPr>
                <w:rFonts w:ascii="黑体" w:eastAsia="黑体" w:hAnsi="黑体" w:cs="黑体"/>
                <w:color w:val="000000" w:themeColor="text1"/>
              </w:rPr>
              <w:t>材料名称</w:t>
            </w:r>
          </w:p>
        </w:tc>
        <w:tc>
          <w:tcPr>
            <w:tcW w:w="840" w:type="dxa"/>
            <w:shd w:val="clear" w:color="auto" w:fill="D9D9D9"/>
            <w:vAlign w:val="center"/>
          </w:tcPr>
          <w:p w:rsidR="005B4A6C" w:rsidRDefault="00356BA4">
            <w:pPr>
              <w:widowControl/>
              <w:wordWrap w:val="0"/>
              <w:jc w:val="center"/>
              <w:rPr>
                <w:rFonts w:ascii="黑体" w:eastAsia="黑体" w:hAnsi="黑体" w:cs="Times New Roman"/>
                <w:color w:val="000000" w:themeColor="text1"/>
              </w:rPr>
            </w:pPr>
            <w:r>
              <w:rPr>
                <w:rFonts w:ascii="黑体" w:eastAsia="黑体" w:hAnsi="黑体" w:cs="黑体"/>
                <w:color w:val="000000" w:themeColor="text1"/>
              </w:rPr>
              <w:t>数量</w:t>
            </w:r>
          </w:p>
        </w:tc>
        <w:tc>
          <w:tcPr>
            <w:tcW w:w="1406" w:type="dxa"/>
            <w:shd w:val="clear" w:color="auto" w:fill="D9D9D9"/>
            <w:vAlign w:val="center"/>
          </w:tcPr>
          <w:p w:rsidR="005B4A6C" w:rsidRDefault="00356BA4">
            <w:pPr>
              <w:widowControl/>
              <w:wordWrap w:val="0"/>
              <w:jc w:val="center"/>
              <w:rPr>
                <w:rFonts w:ascii="黑体" w:eastAsia="黑体" w:hAnsi="黑体" w:cs="Times New Roman"/>
                <w:color w:val="000000" w:themeColor="text1"/>
              </w:rPr>
            </w:pPr>
            <w:r>
              <w:rPr>
                <w:rFonts w:ascii="黑体" w:eastAsia="黑体" w:hAnsi="黑体" w:cs="黑体"/>
                <w:color w:val="000000" w:themeColor="text1"/>
              </w:rPr>
              <w:t>备注</w:t>
            </w:r>
          </w:p>
        </w:tc>
      </w:tr>
      <w:tr w:rsidR="005B4A6C">
        <w:trPr>
          <w:trHeight w:hRule="exact" w:val="1134"/>
          <w:jc w:val="center"/>
        </w:trPr>
        <w:tc>
          <w:tcPr>
            <w:tcW w:w="680" w:type="dxa"/>
            <w:vAlign w:val="center"/>
          </w:tcPr>
          <w:p w:rsidR="005B4A6C" w:rsidRDefault="00356BA4">
            <w:pPr>
              <w:widowControl/>
              <w:wordWrap w:val="0"/>
              <w:jc w:val="center"/>
              <w:rPr>
                <w:rFonts w:ascii="黑体" w:eastAsia="黑体" w:hAnsi="黑体"/>
                <w:color w:val="000000" w:themeColor="text1"/>
                <w:sz w:val="18"/>
                <w:szCs w:val="18"/>
              </w:rPr>
            </w:pPr>
            <w:r>
              <w:rPr>
                <w:rFonts w:eastAsia="黑体" w:cs="Times New Roman" w:hint="eastAsia"/>
                <w:color w:val="000000" w:themeColor="text1"/>
                <w:sz w:val="18"/>
                <w:szCs w:val="18"/>
              </w:rPr>
              <w:t>1</w:t>
            </w:r>
          </w:p>
        </w:tc>
        <w:tc>
          <w:tcPr>
            <w:tcW w:w="5238" w:type="dxa"/>
            <w:gridSpan w:val="2"/>
            <w:vAlign w:val="center"/>
          </w:tcPr>
          <w:p w:rsidR="005B4A6C" w:rsidRDefault="00356BA4">
            <w:pPr>
              <w:widowControl/>
              <w:wordWrap w:val="0"/>
              <w:rPr>
                <w:rFonts w:ascii="黑体" w:eastAsia="黑体" w:hAnsi="黑体"/>
                <w:color w:val="000000" w:themeColor="text1"/>
                <w:sz w:val="18"/>
                <w:szCs w:val="18"/>
              </w:rPr>
            </w:pPr>
            <w:r>
              <w:rPr>
                <w:rFonts w:ascii="黑体" w:eastAsia="黑体" w:hAnsi="黑体"/>
                <w:color w:val="000000" w:themeColor="text1"/>
                <w:sz w:val="18"/>
                <w:szCs w:val="18"/>
              </w:rPr>
              <w:t>纳税人通过口头或书面形式提供以下内容：</w:t>
            </w:r>
          </w:p>
          <w:p w:rsidR="005B4A6C" w:rsidRDefault="00356BA4">
            <w:pPr>
              <w:widowControl/>
              <w:wordWrap w:val="0"/>
              <w:rPr>
                <w:rFonts w:ascii="黑体" w:eastAsia="黑体" w:hAnsi="黑体"/>
                <w:color w:val="000000" w:themeColor="text1"/>
                <w:sz w:val="18"/>
                <w:szCs w:val="18"/>
              </w:rPr>
            </w:pPr>
            <w:r>
              <w:rPr>
                <w:rFonts w:ascii="黑体" w:eastAsia="黑体" w:hAnsi="黑体"/>
                <w:color w:val="000000" w:themeColor="text1"/>
                <w:sz w:val="18"/>
                <w:szCs w:val="18"/>
              </w:rPr>
              <w:t>（</w:t>
            </w:r>
            <w:r>
              <w:rPr>
                <w:rFonts w:eastAsia="黑体" w:cs="Times New Roman" w:hint="eastAsia"/>
                <w:color w:val="000000" w:themeColor="text1"/>
                <w:sz w:val="18"/>
                <w:szCs w:val="18"/>
              </w:rPr>
              <w:t>1</w:t>
            </w:r>
            <w:r>
              <w:rPr>
                <w:rFonts w:ascii="黑体" w:eastAsia="黑体" w:hAnsi="黑体"/>
                <w:color w:val="000000" w:themeColor="text1"/>
                <w:sz w:val="18"/>
                <w:szCs w:val="18"/>
              </w:rPr>
              <w:t>）被投诉单位名称或者被投诉个人的相关信息及其所属单位；</w:t>
            </w:r>
          </w:p>
          <w:p w:rsidR="005B4A6C" w:rsidRDefault="00356BA4">
            <w:pPr>
              <w:widowControl/>
              <w:wordWrap w:val="0"/>
              <w:rPr>
                <w:rFonts w:ascii="黑体" w:eastAsia="黑体" w:hAnsi="黑体" w:cs="Times New Roman"/>
                <w:color w:val="000000" w:themeColor="text1"/>
                <w:sz w:val="18"/>
                <w:szCs w:val="18"/>
              </w:rPr>
            </w:pPr>
            <w:r>
              <w:rPr>
                <w:rFonts w:ascii="黑体" w:eastAsia="黑体" w:hAnsi="黑体"/>
                <w:color w:val="000000" w:themeColor="text1"/>
                <w:sz w:val="18"/>
                <w:szCs w:val="18"/>
              </w:rPr>
              <w:t>（</w:t>
            </w:r>
            <w:r>
              <w:rPr>
                <w:rFonts w:eastAsia="黑体" w:cs="Times New Roman" w:hint="eastAsia"/>
                <w:color w:val="000000" w:themeColor="text1"/>
                <w:sz w:val="18"/>
                <w:szCs w:val="18"/>
              </w:rPr>
              <w:t>2</w:t>
            </w:r>
            <w:r>
              <w:rPr>
                <w:rFonts w:ascii="黑体" w:eastAsia="黑体" w:hAnsi="黑体"/>
                <w:color w:val="000000" w:themeColor="text1"/>
                <w:sz w:val="18"/>
                <w:szCs w:val="18"/>
              </w:rPr>
              <w:t>）投诉请求、主要事实、理由。</w:t>
            </w:r>
          </w:p>
        </w:tc>
        <w:tc>
          <w:tcPr>
            <w:tcW w:w="840" w:type="dxa"/>
            <w:vAlign w:val="center"/>
          </w:tcPr>
          <w:p w:rsidR="005B4A6C" w:rsidRDefault="00356BA4">
            <w:pPr>
              <w:widowControl/>
              <w:wordWrap w:val="0"/>
              <w:jc w:val="center"/>
              <w:rPr>
                <w:rFonts w:ascii="黑体" w:eastAsia="黑体" w:hAnsi="黑体" w:cs="Times New Roman"/>
                <w:color w:val="000000" w:themeColor="text1"/>
                <w:sz w:val="18"/>
                <w:szCs w:val="18"/>
              </w:rPr>
            </w:pPr>
            <w:r>
              <w:rPr>
                <w:rFonts w:eastAsia="黑体" w:cs="Times New Roman" w:hint="eastAsia"/>
                <w:color w:val="000000" w:themeColor="text1"/>
                <w:sz w:val="18"/>
                <w:szCs w:val="18"/>
              </w:rPr>
              <w:t>1</w:t>
            </w:r>
            <w:r>
              <w:rPr>
                <w:rFonts w:ascii="黑体" w:eastAsia="黑体" w:hAnsi="黑体"/>
                <w:color w:val="000000" w:themeColor="text1"/>
                <w:sz w:val="18"/>
                <w:szCs w:val="18"/>
              </w:rPr>
              <w:t>份</w:t>
            </w:r>
          </w:p>
        </w:tc>
        <w:tc>
          <w:tcPr>
            <w:tcW w:w="1406" w:type="dxa"/>
            <w:vAlign w:val="center"/>
          </w:tcPr>
          <w:p w:rsidR="005B4A6C" w:rsidRDefault="005B4A6C">
            <w:pPr>
              <w:widowControl/>
              <w:wordWrap w:val="0"/>
              <w:rPr>
                <w:rFonts w:ascii="黑体" w:eastAsia="黑体" w:hAnsi="黑体" w:cs="Times New Roman"/>
                <w:color w:val="000000" w:themeColor="text1"/>
                <w:sz w:val="18"/>
                <w:szCs w:val="18"/>
              </w:rPr>
            </w:pPr>
          </w:p>
        </w:tc>
      </w:tr>
      <w:tr w:rsidR="005B4A6C">
        <w:trPr>
          <w:trHeight w:hRule="exact" w:val="397"/>
          <w:jc w:val="center"/>
        </w:trPr>
        <w:tc>
          <w:tcPr>
            <w:tcW w:w="8164" w:type="dxa"/>
            <w:gridSpan w:val="5"/>
            <w:shd w:val="clear" w:color="auto" w:fill="D9D9D9"/>
            <w:vAlign w:val="center"/>
          </w:tcPr>
          <w:p w:rsidR="005B4A6C" w:rsidRDefault="00356BA4">
            <w:pPr>
              <w:widowControl/>
              <w:wordWrap w:val="0"/>
              <w:jc w:val="center"/>
              <w:rPr>
                <w:rFonts w:ascii="黑体" w:eastAsia="黑体" w:hAnsi="黑体" w:cs="Times New Roman"/>
                <w:color w:val="000000" w:themeColor="text1"/>
                <w:lang w:val="zh-CN"/>
              </w:rPr>
            </w:pPr>
            <w:r>
              <w:rPr>
                <w:rFonts w:ascii="黑体" w:eastAsia="黑体" w:hAnsi="黑体"/>
                <w:color w:val="000000" w:themeColor="text1"/>
                <w:lang w:val="zh-CN"/>
              </w:rPr>
              <w:t>有以下情形的，还应提供相应材料</w:t>
            </w:r>
          </w:p>
        </w:tc>
      </w:tr>
      <w:tr w:rsidR="005B4A6C">
        <w:trPr>
          <w:trHeight w:hRule="exact" w:val="397"/>
          <w:jc w:val="center"/>
        </w:trPr>
        <w:tc>
          <w:tcPr>
            <w:tcW w:w="2381" w:type="dxa"/>
            <w:gridSpan w:val="2"/>
            <w:shd w:val="clear" w:color="auto" w:fill="D9D9D9"/>
            <w:vAlign w:val="center"/>
          </w:tcPr>
          <w:p w:rsidR="005B4A6C" w:rsidRDefault="00356BA4">
            <w:pPr>
              <w:widowControl/>
              <w:wordWrap w:val="0"/>
              <w:jc w:val="center"/>
              <w:rPr>
                <w:rFonts w:ascii="黑体" w:eastAsia="黑体" w:hAnsi="黑体" w:cs="黑体"/>
                <w:color w:val="000000" w:themeColor="text1"/>
              </w:rPr>
            </w:pPr>
            <w:r>
              <w:rPr>
                <w:rFonts w:ascii="黑体" w:eastAsia="黑体" w:hAnsi="黑体"/>
                <w:color w:val="000000" w:themeColor="text1"/>
              </w:rPr>
              <w:t>适用情形</w:t>
            </w:r>
          </w:p>
        </w:tc>
        <w:tc>
          <w:tcPr>
            <w:tcW w:w="3537" w:type="dxa"/>
            <w:shd w:val="clear" w:color="auto" w:fill="D9D9D9"/>
            <w:vAlign w:val="center"/>
          </w:tcPr>
          <w:p w:rsidR="005B4A6C" w:rsidRDefault="00356BA4">
            <w:pPr>
              <w:widowControl/>
              <w:wordWrap w:val="0"/>
              <w:jc w:val="center"/>
              <w:rPr>
                <w:rFonts w:ascii="黑体" w:eastAsia="黑体" w:hAnsi="黑体"/>
                <w:color w:val="000000" w:themeColor="text1"/>
              </w:rPr>
            </w:pPr>
            <w:r>
              <w:rPr>
                <w:rFonts w:ascii="黑体" w:eastAsia="黑体" w:hAnsi="黑体"/>
                <w:color w:val="000000" w:themeColor="text1"/>
              </w:rPr>
              <w:t>材料名称</w:t>
            </w:r>
          </w:p>
        </w:tc>
        <w:tc>
          <w:tcPr>
            <w:tcW w:w="840" w:type="dxa"/>
            <w:shd w:val="clear" w:color="auto" w:fill="D9D9D9"/>
            <w:vAlign w:val="center"/>
          </w:tcPr>
          <w:p w:rsidR="005B4A6C" w:rsidRDefault="00356BA4">
            <w:pPr>
              <w:widowControl/>
              <w:wordWrap w:val="0"/>
              <w:jc w:val="center"/>
              <w:rPr>
                <w:rFonts w:ascii="黑体" w:eastAsia="黑体" w:hAnsi="黑体"/>
                <w:color w:val="000000" w:themeColor="text1"/>
              </w:rPr>
            </w:pPr>
            <w:r>
              <w:rPr>
                <w:rFonts w:ascii="黑体" w:eastAsia="黑体" w:hAnsi="黑体"/>
                <w:color w:val="000000" w:themeColor="text1"/>
              </w:rPr>
              <w:t>数量</w:t>
            </w:r>
          </w:p>
        </w:tc>
        <w:tc>
          <w:tcPr>
            <w:tcW w:w="1406" w:type="dxa"/>
            <w:shd w:val="clear" w:color="auto" w:fill="D9D9D9"/>
            <w:vAlign w:val="center"/>
          </w:tcPr>
          <w:p w:rsidR="005B4A6C" w:rsidRDefault="00356BA4">
            <w:pPr>
              <w:widowControl/>
              <w:wordWrap w:val="0"/>
              <w:jc w:val="center"/>
              <w:rPr>
                <w:rFonts w:ascii="黑体" w:eastAsia="黑体" w:hAnsi="黑体"/>
                <w:color w:val="000000" w:themeColor="text1"/>
              </w:rPr>
            </w:pPr>
            <w:r>
              <w:rPr>
                <w:rFonts w:ascii="黑体" w:eastAsia="黑体" w:hAnsi="黑体"/>
                <w:color w:val="000000" w:themeColor="text1"/>
              </w:rPr>
              <w:t>备注</w:t>
            </w:r>
          </w:p>
        </w:tc>
      </w:tr>
      <w:tr w:rsidR="005B4A6C">
        <w:trPr>
          <w:trHeight w:hRule="exact" w:val="397"/>
          <w:jc w:val="center"/>
        </w:trPr>
        <w:tc>
          <w:tcPr>
            <w:tcW w:w="2381" w:type="dxa"/>
            <w:gridSpan w:val="2"/>
            <w:vAlign w:val="center"/>
          </w:tcPr>
          <w:p w:rsidR="005B4A6C" w:rsidRDefault="00356BA4">
            <w:pPr>
              <w:widowControl/>
              <w:wordWrap w:val="0"/>
              <w:jc w:val="center"/>
              <w:rPr>
                <w:rFonts w:ascii="黑体" w:eastAsia="黑体" w:hAnsi="黑体" w:cs="Times New Roman"/>
                <w:color w:val="000000" w:themeColor="text1"/>
                <w:sz w:val="18"/>
                <w:szCs w:val="18"/>
              </w:rPr>
            </w:pPr>
            <w:r>
              <w:rPr>
                <w:rFonts w:ascii="黑体" w:eastAsia="黑体" w:hAnsi="黑体"/>
                <w:color w:val="000000" w:themeColor="text1"/>
                <w:sz w:val="18"/>
                <w:szCs w:val="18"/>
              </w:rPr>
              <w:lastRenderedPageBreak/>
              <w:t>实名投诉纳税人</w:t>
            </w:r>
          </w:p>
        </w:tc>
        <w:tc>
          <w:tcPr>
            <w:tcW w:w="3537" w:type="dxa"/>
            <w:vAlign w:val="center"/>
          </w:tcPr>
          <w:p w:rsidR="005B4A6C" w:rsidRDefault="00356BA4">
            <w:pPr>
              <w:widowControl/>
              <w:wordWrap w:val="0"/>
              <w:jc w:val="center"/>
              <w:rPr>
                <w:rFonts w:ascii="黑体" w:eastAsia="黑体" w:hAnsi="黑体" w:cs="Times New Roman"/>
                <w:color w:val="000000" w:themeColor="text1"/>
                <w:sz w:val="18"/>
                <w:szCs w:val="18"/>
              </w:rPr>
            </w:pPr>
            <w:r>
              <w:rPr>
                <w:rFonts w:ascii="黑体" w:eastAsia="黑体" w:hAnsi="黑体"/>
                <w:color w:val="000000" w:themeColor="text1"/>
                <w:sz w:val="18"/>
                <w:szCs w:val="18"/>
              </w:rPr>
              <w:t>投诉人的姓名（名称）、有效联系方式</w:t>
            </w:r>
          </w:p>
        </w:tc>
        <w:tc>
          <w:tcPr>
            <w:tcW w:w="840" w:type="dxa"/>
            <w:vAlign w:val="center"/>
          </w:tcPr>
          <w:p w:rsidR="005B4A6C" w:rsidRDefault="00356BA4">
            <w:pPr>
              <w:widowControl/>
              <w:wordWrap w:val="0"/>
              <w:jc w:val="center"/>
              <w:rPr>
                <w:rFonts w:ascii="黑体" w:eastAsia="黑体" w:hAnsi="黑体" w:cs="Times New Roman"/>
                <w:color w:val="000000" w:themeColor="text1"/>
                <w:sz w:val="18"/>
                <w:szCs w:val="18"/>
              </w:rPr>
            </w:pPr>
            <w:r>
              <w:rPr>
                <w:rFonts w:eastAsia="黑体" w:cs="Times New Roman" w:hint="eastAsia"/>
                <w:color w:val="000000" w:themeColor="text1"/>
                <w:sz w:val="18"/>
                <w:szCs w:val="18"/>
              </w:rPr>
              <w:t>1</w:t>
            </w:r>
            <w:r>
              <w:rPr>
                <w:rFonts w:ascii="黑体" w:eastAsia="黑体" w:hAnsi="黑体"/>
                <w:color w:val="000000" w:themeColor="text1"/>
                <w:sz w:val="18"/>
                <w:szCs w:val="18"/>
              </w:rPr>
              <w:t>份</w:t>
            </w:r>
          </w:p>
        </w:tc>
        <w:tc>
          <w:tcPr>
            <w:tcW w:w="1406" w:type="dxa"/>
            <w:vAlign w:val="center"/>
          </w:tcPr>
          <w:p w:rsidR="005B4A6C" w:rsidRDefault="005B4A6C">
            <w:pPr>
              <w:widowControl/>
              <w:wordWrap w:val="0"/>
              <w:jc w:val="center"/>
              <w:rPr>
                <w:rFonts w:ascii="黑体" w:eastAsia="黑体" w:hAnsi="黑体" w:cs="Times New Roman"/>
                <w:color w:val="000000" w:themeColor="text1"/>
                <w:sz w:val="18"/>
                <w:szCs w:val="18"/>
              </w:rPr>
            </w:pPr>
          </w:p>
        </w:tc>
      </w:tr>
    </w:tbl>
    <w:p w:rsidR="005B4A6C" w:rsidRDefault="00356BA4">
      <w:pPr>
        <w:widowControl/>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【办理地点】</w:t>
      </w:r>
    </w:p>
    <w:p w:rsidR="006E51E6" w:rsidRDefault="006E51E6" w:rsidP="006E51E6">
      <w:pPr>
        <w:widowControl/>
        <w:wordWrap w:val="0"/>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可通过办税服务厅（场所）、</w:t>
      </w:r>
      <w:r>
        <w:rPr>
          <w:rFonts w:cs="Times New Roman" w:hint="eastAsia"/>
          <w:color w:val="000000" w:themeColor="text1"/>
          <w:sz w:val="24"/>
          <w:szCs w:val="24"/>
        </w:rPr>
        <w:t>12366</w:t>
      </w:r>
      <w:r>
        <w:rPr>
          <w:rFonts w:ascii="宋体" w:hAnsi="宋体"/>
          <w:color w:val="000000" w:themeColor="text1"/>
          <w:sz w:val="24"/>
          <w:szCs w:val="24"/>
        </w:rPr>
        <w:t>纳税服务热线</w:t>
      </w:r>
      <w:r>
        <w:rPr>
          <w:rFonts w:ascii="宋体" w:hAnsi="宋体" w:hint="eastAsia"/>
          <w:color w:val="000000" w:themeColor="text1"/>
          <w:sz w:val="24"/>
          <w:szCs w:val="24"/>
        </w:rPr>
        <w:t>、</w:t>
      </w:r>
      <w:r>
        <w:rPr>
          <w:rFonts w:ascii="宋体" w:hAnsi="宋体" w:cs="Times New Roman" w:hint="eastAsia"/>
          <w:bCs/>
          <w:sz w:val="24"/>
          <w:szCs w:val="28"/>
        </w:rPr>
        <w:t>国家税务总局新疆维吾尔自治区税务局</w:t>
      </w:r>
      <w:r>
        <w:rPr>
          <w:rFonts w:ascii="宋体" w:hAnsi="宋体" w:cs="Times New Roman"/>
          <w:bCs/>
          <w:sz w:val="24"/>
          <w:szCs w:val="28"/>
        </w:rPr>
        <w:t>门户网站</w:t>
      </w:r>
      <w:r>
        <w:rPr>
          <w:rFonts w:ascii="宋体" w:hAnsi="宋体" w:cs="Times New Roman" w:hint="eastAsia"/>
          <w:bCs/>
          <w:sz w:val="24"/>
          <w:szCs w:val="28"/>
        </w:rPr>
        <w:t>、</w:t>
      </w:r>
      <w:r>
        <w:rPr>
          <w:rFonts w:ascii="宋体" w:hAnsi="宋体"/>
          <w:color w:val="000000" w:themeColor="text1"/>
          <w:sz w:val="24"/>
          <w:szCs w:val="24"/>
        </w:rPr>
        <w:t>信函等渠道办理，</w:t>
      </w:r>
      <w:r>
        <w:rPr>
          <w:rFonts w:ascii="宋体" w:hAnsi="宋体" w:hint="eastAsia"/>
          <w:color w:val="000000" w:themeColor="text1"/>
          <w:sz w:val="24"/>
          <w:szCs w:val="24"/>
        </w:rPr>
        <w:t>新疆维吾尔自治区电子税务局办理，办税服务厅具体地点可点击下列链接通过办税地图获取：</w:t>
      </w:r>
    </w:p>
    <w:p w:rsidR="006E51E6" w:rsidRDefault="00A45312" w:rsidP="006E51E6">
      <w:pPr>
        <w:pStyle w:val="af3"/>
        <w:widowControl/>
        <w:wordWrap w:val="0"/>
        <w:rPr>
          <w:rStyle w:val="af2"/>
          <w:rFonts w:ascii="宋体" w:hAnsi="宋体"/>
          <w:b w:val="0"/>
        </w:rPr>
      </w:pPr>
      <w:hyperlink r:id="rId7" w:anchor="/bsdt?code=bsdt&amp;id=9916" w:history="1">
        <w:r w:rsidR="006E51E6">
          <w:rPr>
            <w:rStyle w:val="af2"/>
            <w:rFonts w:ascii="宋体" w:hAnsi="宋体" w:cstheme="minorBidi" w:hint="eastAsia"/>
            <w:b w:val="0"/>
          </w:rPr>
          <w:t>https://etax.xinjiang.chinatax.gov.cn/yhs-web/cxzx/bmap.html#/bsdt?code=bsdt&amp;id=9916</w:t>
        </w:r>
      </w:hyperlink>
    </w:p>
    <w:p w:rsidR="006E51E6" w:rsidRDefault="006E51E6" w:rsidP="006E51E6">
      <w:pPr>
        <w:widowControl/>
        <w:wordWrap w:val="0"/>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新疆维吾尔自治区电子税务局网址为：</w:t>
      </w:r>
    </w:p>
    <w:p w:rsidR="006E51E6" w:rsidRDefault="006E51E6" w:rsidP="006E51E6">
      <w:pPr>
        <w:pStyle w:val="af3"/>
        <w:widowControl/>
        <w:wordWrap w:val="0"/>
        <w:rPr>
          <w:rStyle w:val="af2"/>
          <w:rFonts w:ascii="宋体" w:hAnsi="宋体" w:cstheme="minorBidi"/>
          <w:b w:val="0"/>
        </w:rPr>
      </w:pPr>
      <w:r w:rsidRPr="00DE09EE">
        <w:rPr>
          <w:rFonts w:ascii="宋体" w:hAnsi="宋体" w:cstheme="minorBidi" w:hint="eastAsia"/>
          <w:b w:val="0"/>
        </w:rPr>
        <w:t>https://etax.xinjiang.chinatax.gov.cn</w:t>
      </w:r>
      <w:r w:rsidR="00DE09EE">
        <w:rPr>
          <w:rStyle w:val="af2"/>
          <w:rFonts w:ascii="宋体" w:hAnsi="宋体" w:cstheme="minorBidi"/>
          <w:b w:val="0"/>
        </w:rPr>
        <w:t xml:space="preserve"> </w:t>
      </w:r>
    </w:p>
    <w:p w:rsidR="006E51E6" w:rsidRDefault="006E51E6" w:rsidP="006E51E6">
      <w:pPr>
        <w:widowControl/>
        <w:wordWrap w:val="0"/>
        <w:spacing w:line="360" w:lineRule="auto"/>
        <w:ind w:firstLine="480"/>
        <w:rPr>
          <w:rFonts w:ascii="宋体" w:hAnsi="宋体"/>
          <w:color w:val="000000" w:themeColor="text1"/>
          <w:sz w:val="24"/>
          <w:szCs w:val="24"/>
        </w:rPr>
      </w:pPr>
      <w:r>
        <w:rPr>
          <w:rFonts w:ascii="宋体" w:hAnsi="宋体" w:cs="Times New Roman" w:hint="eastAsia"/>
          <w:bCs/>
          <w:sz w:val="24"/>
          <w:szCs w:val="28"/>
        </w:rPr>
        <w:t>国家税务总局新疆维吾尔自治区税务局</w:t>
      </w:r>
      <w:r>
        <w:rPr>
          <w:rFonts w:ascii="宋体" w:hAnsi="宋体" w:cs="Times New Roman"/>
          <w:bCs/>
          <w:sz w:val="24"/>
          <w:szCs w:val="28"/>
        </w:rPr>
        <w:t>门户网站</w:t>
      </w:r>
      <w:r>
        <w:rPr>
          <w:rFonts w:ascii="宋体" w:hAnsi="宋体" w:cs="Times New Roman" w:hint="eastAsia"/>
          <w:bCs/>
          <w:sz w:val="24"/>
          <w:szCs w:val="28"/>
        </w:rPr>
        <w:t>网址为：</w:t>
      </w:r>
      <w:hyperlink r:id="rId8" w:history="1">
        <w:r w:rsidR="00DE09EE">
          <w:rPr>
            <w:rStyle w:val="af2"/>
          </w:rPr>
          <w:t>http://xinjiang.chinatax.gov.cn/</w:t>
        </w:r>
      </w:hyperlink>
      <w:bookmarkStart w:id="3" w:name="_GoBack"/>
      <w:bookmarkEnd w:id="3"/>
    </w:p>
    <w:p w:rsidR="005B4A6C" w:rsidRDefault="00356BA4">
      <w:pPr>
        <w:widowControl/>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【办理机构】</w:t>
      </w:r>
    </w:p>
    <w:p w:rsidR="005B4A6C" w:rsidRDefault="00356BA4">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各级税务机关</w:t>
      </w:r>
    </w:p>
    <w:p w:rsidR="005B4A6C" w:rsidRDefault="00356BA4">
      <w:pPr>
        <w:widowControl/>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【收费标准】</w:t>
      </w:r>
    </w:p>
    <w:p w:rsidR="005B4A6C" w:rsidRDefault="00356BA4">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不收费</w:t>
      </w:r>
    </w:p>
    <w:p w:rsidR="005B4A6C" w:rsidRDefault="00356BA4">
      <w:pPr>
        <w:widowControl/>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【办理时间】</w:t>
      </w:r>
    </w:p>
    <w:p w:rsidR="005B4A6C" w:rsidRDefault="00356BA4">
      <w:pPr>
        <w:widowControl/>
        <w:wordWrap w:val="0"/>
        <w:spacing w:line="360" w:lineRule="auto"/>
        <w:ind w:firstLine="480"/>
        <w:rPr>
          <w:rFonts w:ascii="宋体" w:hAnsi="宋体" w:cs="Times New Roman"/>
          <w:color w:val="000000" w:themeColor="text1"/>
          <w:sz w:val="24"/>
          <w:szCs w:val="24"/>
        </w:rPr>
      </w:pPr>
      <w:r>
        <w:rPr>
          <w:rFonts w:cs="Times New Roman" w:hint="eastAsia"/>
          <w:color w:val="000000" w:themeColor="text1"/>
          <w:sz w:val="24"/>
          <w:szCs w:val="24"/>
        </w:rPr>
        <w:t>1.</w:t>
      </w:r>
      <w:r>
        <w:rPr>
          <w:rFonts w:ascii="宋体" w:hAnsi="宋体"/>
          <w:color w:val="000000" w:themeColor="text1"/>
          <w:sz w:val="24"/>
          <w:szCs w:val="24"/>
        </w:rPr>
        <w:t>属于下列情形的，即时办结：</w:t>
      </w:r>
    </w:p>
    <w:p w:rsidR="005B4A6C" w:rsidRDefault="00356BA4">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cs="Times New Roman" w:hint="eastAsia"/>
          <w:color w:val="000000" w:themeColor="text1"/>
          <w:sz w:val="24"/>
          <w:szCs w:val="24"/>
        </w:rPr>
        <w:t>1</w:t>
      </w:r>
      <w:r>
        <w:rPr>
          <w:rFonts w:ascii="宋体" w:hAnsi="宋体"/>
          <w:color w:val="000000" w:themeColor="text1"/>
          <w:sz w:val="24"/>
          <w:szCs w:val="24"/>
        </w:rPr>
        <w:t>）纳税人当场提出投诉，事实简单、清楚，不需要进行调查的；</w:t>
      </w:r>
    </w:p>
    <w:p w:rsidR="005B4A6C" w:rsidRDefault="00356BA4">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cs="Times New Roman" w:hint="eastAsia"/>
          <w:color w:val="000000" w:themeColor="text1"/>
          <w:sz w:val="24"/>
          <w:szCs w:val="24"/>
        </w:rPr>
        <w:t>2</w:t>
      </w:r>
      <w:r>
        <w:rPr>
          <w:rFonts w:ascii="宋体" w:hAnsi="宋体"/>
          <w:color w:val="000000" w:themeColor="text1"/>
          <w:sz w:val="24"/>
          <w:szCs w:val="24"/>
        </w:rPr>
        <w:t>）一定时期内集中发生的同一投诉事项且已有明确处理意见的。</w:t>
      </w:r>
    </w:p>
    <w:p w:rsidR="005B4A6C" w:rsidRDefault="00356BA4">
      <w:pPr>
        <w:widowControl/>
        <w:wordWrap w:val="0"/>
        <w:spacing w:line="360" w:lineRule="auto"/>
        <w:ind w:firstLine="480"/>
        <w:rPr>
          <w:rFonts w:ascii="宋体" w:hAnsi="宋体" w:cs="Times New Roman"/>
          <w:color w:val="000000" w:themeColor="text1"/>
          <w:sz w:val="24"/>
          <w:szCs w:val="24"/>
        </w:rPr>
      </w:pPr>
      <w:r>
        <w:rPr>
          <w:rFonts w:cs="Times New Roman" w:hint="eastAsia"/>
          <w:color w:val="000000" w:themeColor="text1"/>
          <w:sz w:val="24"/>
          <w:szCs w:val="24"/>
        </w:rPr>
        <w:t>2</w:t>
      </w:r>
      <w:r>
        <w:rPr>
          <w:rFonts w:ascii="宋体" w:hAnsi="宋体" w:hint="eastAsia"/>
          <w:color w:val="000000" w:themeColor="text1"/>
          <w:sz w:val="24"/>
          <w:szCs w:val="24"/>
        </w:rPr>
        <w:t>.</w:t>
      </w:r>
      <w:r>
        <w:rPr>
          <w:rFonts w:ascii="宋体" w:hAnsi="宋体"/>
          <w:color w:val="000000" w:themeColor="text1"/>
          <w:sz w:val="24"/>
          <w:szCs w:val="24"/>
        </w:rPr>
        <w:t>属于下列情形的，自受理之日起</w:t>
      </w:r>
      <w:r>
        <w:rPr>
          <w:rFonts w:cs="Times New Roman" w:hint="eastAsia"/>
          <w:color w:val="000000" w:themeColor="text1"/>
          <w:sz w:val="24"/>
          <w:szCs w:val="24"/>
        </w:rPr>
        <w:t>3</w:t>
      </w:r>
      <w:r>
        <w:rPr>
          <w:rFonts w:ascii="宋体" w:hAnsi="宋体"/>
          <w:color w:val="000000" w:themeColor="text1"/>
          <w:sz w:val="24"/>
          <w:szCs w:val="24"/>
        </w:rPr>
        <w:t>个工作日内办结：</w:t>
      </w:r>
    </w:p>
    <w:p w:rsidR="005B4A6C" w:rsidRDefault="00356BA4">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cs="Times New Roman" w:hint="eastAsia"/>
          <w:color w:val="000000" w:themeColor="text1"/>
          <w:sz w:val="24"/>
          <w:szCs w:val="24"/>
        </w:rPr>
        <w:t>1</w:t>
      </w:r>
      <w:r>
        <w:rPr>
          <w:rFonts w:ascii="宋体" w:hAnsi="宋体"/>
          <w:color w:val="000000" w:themeColor="text1"/>
          <w:sz w:val="24"/>
          <w:szCs w:val="24"/>
        </w:rPr>
        <w:t>）纳税人认为税务机关及其工作人员未准确掌握税收法律法规等相关规定，导致纳税人应享受未享受税收优惠政策的；</w:t>
      </w:r>
    </w:p>
    <w:p w:rsidR="005B4A6C" w:rsidRDefault="00356BA4">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cs="Times New Roman" w:hint="eastAsia"/>
          <w:color w:val="000000" w:themeColor="text1"/>
          <w:sz w:val="24"/>
          <w:szCs w:val="24"/>
        </w:rPr>
        <w:t>2</w:t>
      </w:r>
      <w:r>
        <w:rPr>
          <w:rFonts w:ascii="宋体" w:hAnsi="宋体"/>
          <w:color w:val="000000" w:themeColor="text1"/>
          <w:sz w:val="24"/>
          <w:szCs w:val="24"/>
        </w:rPr>
        <w:t>）自然人纳税人提出的个人所得税服务投诉；</w:t>
      </w:r>
    </w:p>
    <w:p w:rsidR="005B4A6C" w:rsidRDefault="00356BA4">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cs="Times New Roman" w:hint="eastAsia"/>
          <w:color w:val="000000" w:themeColor="text1"/>
          <w:sz w:val="24"/>
          <w:szCs w:val="24"/>
        </w:rPr>
        <w:t>3</w:t>
      </w:r>
      <w:r>
        <w:rPr>
          <w:rFonts w:ascii="宋体" w:hAnsi="宋体"/>
          <w:color w:val="000000" w:themeColor="text1"/>
          <w:sz w:val="24"/>
          <w:szCs w:val="24"/>
        </w:rPr>
        <w:t>）自然人缴费人提出的社会保险费和非税收入征缴服务投诉；</w:t>
      </w:r>
    </w:p>
    <w:p w:rsidR="005B4A6C" w:rsidRDefault="00356BA4">
      <w:pPr>
        <w:widowControl/>
        <w:wordWrap w:val="0"/>
        <w:spacing w:line="360" w:lineRule="auto"/>
        <w:ind w:firstLine="480"/>
        <w:rPr>
          <w:rFonts w:ascii="宋体" w:hAnsi="宋体" w:cs="Times New Roman"/>
          <w:color w:val="000000" w:themeColor="text1"/>
          <w:sz w:val="24"/>
          <w:szCs w:val="24"/>
        </w:rPr>
      </w:pPr>
      <w:r>
        <w:rPr>
          <w:rFonts w:ascii="宋体" w:hAnsi="宋体"/>
          <w:color w:val="000000" w:themeColor="text1"/>
          <w:sz w:val="24"/>
          <w:szCs w:val="24"/>
        </w:rPr>
        <w:t>（</w:t>
      </w:r>
      <w:r>
        <w:rPr>
          <w:rFonts w:cs="Times New Roman" w:hint="eastAsia"/>
          <w:color w:val="000000" w:themeColor="text1"/>
          <w:sz w:val="24"/>
          <w:szCs w:val="24"/>
        </w:rPr>
        <w:t>4</w:t>
      </w:r>
      <w:r>
        <w:rPr>
          <w:rFonts w:ascii="宋体" w:hAnsi="宋体"/>
          <w:color w:val="000000" w:themeColor="text1"/>
          <w:sz w:val="24"/>
          <w:szCs w:val="24"/>
        </w:rPr>
        <w:t>）涉及其他重大政策落实的服务投诉。</w:t>
      </w:r>
    </w:p>
    <w:p w:rsidR="005B4A6C" w:rsidRDefault="00356BA4">
      <w:pPr>
        <w:widowControl/>
        <w:wordWrap w:val="0"/>
        <w:spacing w:line="360" w:lineRule="auto"/>
        <w:ind w:firstLine="480"/>
        <w:rPr>
          <w:rFonts w:ascii="宋体" w:hAnsi="宋体" w:cs="Times New Roman"/>
          <w:color w:val="000000" w:themeColor="text1"/>
          <w:sz w:val="24"/>
          <w:szCs w:val="24"/>
        </w:rPr>
      </w:pPr>
      <w:r>
        <w:rPr>
          <w:rFonts w:cs="Times New Roman" w:hint="eastAsia"/>
          <w:color w:val="000000" w:themeColor="text1"/>
          <w:sz w:val="24"/>
          <w:szCs w:val="24"/>
        </w:rPr>
        <w:t>3.</w:t>
      </w:r>
      <w:r>
        <w:rPr>
          <w:rFonts w:ascii="宋体" w:hAnsi="宋体"/>
          <w:color w:val="000000" w:themeColor="text1"/>
          <w:sz w:val="24"/>
          <w:szCs w:val="24"/>
        </w:rPr>
        <w:t>对服务言行类投诉，自受理之日起</w:t>
      </w:r>
      <w:r>
        <w:rPr>
          <w:rFonts w:cs="Times New Roman" w:hint="eastAsia"/>
          <w:color w:val="000000" w:themeColor="text1"/>
          <w:sz w:val="24"/>
          <w:szCs w:val="24"/>
        </w:rPr>
        <w:t>5</w:t>
      </w:r>
      <w:r>
        <w:rPr>
          <w:rFonts w:ascii="宋体" w:hAnsi="宋体"/>
          <w:color w:val="000000" w:themeColor="text1"/>
          <w:sz w:val="24"/>
          <w:szCs w:val="24"/>
        </w:rPr>
        <w:t>个工作日内办结；服务质效类、其他侵害纳税人合法权益类投诉，自受理之日起</w:t>
      </w:r>
      <w:r>
        <w:rPr>
          <w:rFonts w:cs="Times New Roman" w:hint="eastAsia"/>
          <w:color w:val="000000" w:themeColor="text1"/>
          <w:sz w:val="24"/>
          <w:szCs w:val="24"/>
        </w:rPr>
        <w:t>10</w:t>
      </w:r>
      <w:r>
        <w:rPr>
          <w:rFonts w:ascii="宋体" w:hAnsi="宋体"/>
          <w:color w:val="000000" w:themeColor="text1"/>
          <w:sz w:val="24"/>
          <w:szCs w:val="24"/>
        </w:rPr>
        <w:t>个工作日内办结。</w:t>
      </w:r>
    </w:p>
    <w:p w:rsidR="005B4A6C" w:rsidRDefault="00356BA4">
      <w:pPr>
        <w:widowControl/>
        <w:wordWrap w:val="0"/>
        <w:spacing w:line="360" w:lineRule="auto"/>
        <w:ind w:firstLine="480"/>
        <w:rPr>
          <w:rFonts w:ascii="宋体" w:hAnsi="宋体" w:cs="Times New Roman"/>
          <w:color w:val="000000" w:themeColor="text1"/>
          <w:sz w:val="24"/>
          <w:szCs w:val="24"/>
        </w:rPr>
      </w:pPr>
      <w:r>
        <w:rPr>
          <w:rFonts w:cs="Times New Roman" w:hint="eastAsia"/>
          <w:color w:val="000000" w:themeColor="text1"/>
          <w:sz w:val="24"/>
          <w:szCs w:val="24"/>
        </w:rPr>
        <w:lastRenderedPageBreak/>
        <w:t>4.</w:t>
      </w:r>
      <w:r>
        <w:rPr>
          <w:rFonts w:ascii="宋体" w:hAnsi="宋体"/>
          <w:color w:val="000000" w:themeColor="text1"/>
          <w:sz w:val="24"/>
          <w:szCs w:val="24"/>
        </w:rPr>
        <w:t>因情况复杂不能按期办结的，经受理税务机关纳税服务部门负责人批准，可适当延长办理期限，最长不得超过</w:t>
      </w:r>
      <w:r>
        <w:rPr>
          <w:rFonts w:cs="Times New Roman" w:hint="eastAsia"/>
          <w:color w:val="000000" w:themeColor="text1"/>
          <w:sz w:val="24"/>
          <w:szCs w:val="24"/>
        </w:rPr>
        <w:t>10</w:t>
      </w:r>
      <w:r>
        <w:rPr>
          <w:rFonts w:ascii="宋体" w:hAnsi="宋体"/>
          <w:color w:val="000000" w:themeColor="text1"/>
          <w:sz w:val="24"/>
          <w:szCs w:val="24"/>
        </w:rPr>
        <w:t>个工作日，同时向转办部门进行说明并向投诉人做好解释。</w:t>
      </w:r>
    </w:p>
    <w:p w:rsidR="005B4A6C" w:rsidRDefault="00356BA4">
      <w:pPr>
        <w:widowControl/>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【联系电话】</w:t>
      </w:r>
    </w:p>
    <w:p w:rsidR="005B4A6C" w:rsidRPr="006E51E6" w:rsidRDefault="006E51E6" w:rsidP="006E51E6">
      <w:pPr>
        <w:widowControl/>
        <w:wordWrap w:val="0"/>
        <w:spacing w:line="360" w:lineRule="auto"/>
        <w:ind w:firstLine="480"/>
        <w:contextualSpacing/>
        <w:rPr>
          <w:rFonts w:ascii="宋体" w:hAnsi="宋体"/>
          <w:color w:val="000000" w:themeColor="text1"/>
          <w:sz w:val="24"/>
          <w:szCs w:val="24"/>
          <w:highlight w:val="magenta"/>
        </w:rPr>
      </w:pPr>
      <w:r>
        <w:rPr>
          <w:rFonts w:ascii="宋体" w:hAnsi="宋体"/>
          <w:color w:val="000000" w:themeColor="text1"/>
          <w:sz w:val="24"/>
          <w:szCs w:val="24"/>
        </w:rPr>
        <w:t>受理投诉的税务机关对外公开的联系电话，</w:t>
      </w:r>
      <w:r>
        <w:rPr>
          <w:rFonts w:ascii="宋体" w:hAnsi="宋体" w:hint="eastAsia"/>
          <w:sz w:val="24"/>
          <w:szCs w:val="24"/>
        </w:rPr>
        <w:t>可点击下列链接通过办税地图获取：</w:t>
      </w:r>
      <w:hyperlink r:id="rId9" w:anchor="/bsdt?code=bsdt&amp;id=9916" w:history="1">
        <w:r>
          <w:rPr>
            <w:rStyle w:val="af2"/>
            <w:rFonts w:ascii="宋体" w:hAnsi="宋体"/>
            <w:sz w:val="24"/>
            <w:szCs w:val="24"/>
          </w:rPr>
          <w:t>https://etax.xinjiang.chinatax.gov.cn/yhs-web/cxzx/bmap.html#/bsdt?code=bsdt&amp;id=9916</w:t>
        </w:r>
      </w:hyperlink>
    </w:p>
    <w:p w:rsidR="005B4A6C" w:rsidRDefault="00356BA4">
      <w:pPr>
        <w:widowControl/>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【办理流程】</w:t>
      </w:r>
    </w:p>
    <w:p w:rsidR="005B4A6C" w:rsidRDefault="00356BA4">
      <w:pPr>
        <w:widowControl/>
        <w:wordWrap w:val="0"/>
        <w:spacing w:line="360" w:lineRule="auto"/>
        <w:jc w:val="left"/>
        <w:rPr>
          <w:rFonts w:ascii="宋体" w:hAnsi="宋体" w:cs="Times New Roman"/>
          <w:b/>
          <w:bCs/>
          <w:color w:val="000000" w:themeColor="text1"/>
          <w:highlight w:val="yellow"/>
        </w:rPr>
      </w:pPr>
      <w:r>
        <w:rPr>
          <w:rFonts w:ascii="宋体" w:hAnsi="宋体" w:cs="Times New Roman"/>
          <w:b/>
          <w:bCs/>
          <w:noProof/>
          <w:color w:val="000000" w:themeColor="text1"/>
        </w:rPr>
        <w:drawing>
          <wp:inline distT="0" distB="0" distL="0" distR="0">
            <wp:extent cx="4933950" cy="2357755"/>
            <wp:effectExtent l="0" t="0" r="0" b="4445"/>
            <wp:docPr id="132" name="图片 1" descr="C:\Users\baoqianyu\Desktop\投诉.png投诉"/>
            <wp:cNvGraphicFramePr/>
            <a:graphic xmlns:a="http://schemas.openxmlformats.org/drawingml/2006/main">
              <a:graphicData uri="http://schemas.openxmlformats.org/drawingml/2006/picture">
                <pic:pic xmlns:pic="http://schemas.openxmlformats.org/drawingml/2006/picture">
                  <pic:nvPicPr>
                    <pic:cNvPr id="132" name="图片 1" descr="C:\Users\baoqianyu\Desktop\投诉.png投诉"/>
                    <pic:cNvPicPr>
                      <a:picLocks noChangeArrowheads="1"/>
                    </pic:cNvPicPr>
                  </pic:nvPicPr>
                  <pic:blipFill>
                    <a:blip r:embed="rId10"/>
                    <a:srcRect/>
                    <a:stretch>
                      <a:fillRect/>
                    </a:stretch>
                  </pic:blipFill>
                  <pic:spPr>
                    <a:xfrm>
                      <a:off x="0" y="0"/>
                      <a:ext cx="4933950" cy="2357981"/>
                    </a:xfrm>
                    <a:prstGeom prst="rect">
                      <a:avLst/>
                    </a:prstGeom>
                    <a:noFill/>
                    <a:ln w="9525">
                      <a:noFill/>
                      <a:miter lim="800000"/>
                      <a:headEnd/>
                      <a:tailEnd/>
                    </a:ln>
                  </pic:spPr>
                </pic:pic>
              </a:graphicData>
            </a:graphic>
          </wp:inline>
        </w:drawing>
      </w:r>
    </w:p>
    <w:p w:rsidR="005B4A6C" w:rsidRDefault="00356BA4">
      <w:pPr>
        <w:widowControl/>
        <w:wordWrap w:val="0"/>
        <w:spacing w:line="360" w:lineRule="auto"/>
        <w:ind w:firstLine="480"/>
        <w:rPr>
          <w:rFonts w:ascii="黑体" w:eastAsia="黑体" w:hAnsi="黑体" w:cs="Times New Roman"/>
          <w:bCs/>
          <w:color w:val="000000" w:themeColor="text1"/>
          <w:sz w:val="24"/>
          <w:szCs w:val="24"/>
        </w:rPr>
      </w:pPr>
      <w:r>
        <w:rPr>
          <w:rFonts w:ascii="黑体" w:eastAsia="黑体" w:hAnsi="黑体" w:cs="Times New Roman"/>
          <w:bCs/>
          <w:color w:val="000000" w:themeColor="text1"/>
          <w:sz w:val="24"/>
          <w:szCs w:val="24"/>
        </w:rPr>
        <w:t>【纳税人注意事项】</w:t>
      </w:r>
    </w:p>
    <w:p w:rsidR="005B4A6C" w:rsidRDefault="00356BA4">
      <w:pPr>
        <w:widowControl/>
        <w:wordWrap w:val="0"/>
        <w:spacing w:line="360" w:lineRule="auto"/>
        <w:ind w:firstLine="480"/>
        <w:contextualSpacing/>
        <w:rPr>
          <w:rFonts w:ascii="宋体" w:hAnsi="宋体"/>
          <w:color w:val="000000" w:themeColor="text1"/>
          <w:sz w:val="24"/>
          <w:szCs w:val="24"/>
        </w:rPr>
      </w:pPr>
      <w:r>
        <w:rPr>
          <w:rFonts w:cs="Times New Roman" w:hint="eastAsia"/>
          <w:color w:val="000000" w:themeColor="text1"/>
          <w:sz w:val="24"/>
          <w:szCs w:val="24"/>
        </w:rPr>
        <w:t>1.</w:t>
      </w:r>
      <w:r>
        <w:rPr>
          <w:rFonts w:ascii="宋体" w:hAnsi="宋体"/>
          <w:color w:val="000000" w:themeColor="text1"/>
          <w:sz w:val="24"/>
          <w:szCs w:val="24"/>
        </w:rPr>
        <w:t>纳税人已就具体行政行为申请税务行政复议或者提起税务行政诉讼，但具体行政行为存在不符合文明规范言行问题的，可就该问题单独向税务机关进行投诉。</w:t>
      </w:r>
    </w:p>
    <w:p w:rsidR="005B4A6C" w:rsidRDefault="00356BA4">
      <w:pPr>
        <w:widowControl/>
        <w:wordWrap w:val="0"/>
        <w:spacing w:line="360" w:lineRule="auto"/>
        <w:ind w:firstLine="480"/>
        <w:contextualSpacing/>
        <w:rPr>
          <w:rFonts w:ascii="宋体" w:hAnsi="宋体"/>
          <w:color w:val="000000" w:themeColor="text1"/>
          <w:sz w:val="24"/>
          <w:szCs w:val="24"/>
        </w:rPr>
      </w:pPr>
      <w:r>
        <w:rPr>
          <w:rFonts w:cs="Times New Roman" w:hint="eastAsia"/>
          <w:color w:val="000000" w:themeColor="text1"/>
          <w:sz w:val="24"/>
          <w:szCs w:val="24"/>
        </w:rPr>
        <w:t>2.</w:t>
      </w:r>
      <w:r>
        <w:rPr>
          <w:rFonts w:ascii="宋体" w:hAnsi="宋体"/>
          <w:color w:val="000000" w:themeColor="text1"/>
          <w:sz w:val="24"/>
          <w:szCs w:val="24"/>
        </w:rPr>
        <w:t>纳税人进行纳税服务投诉需遵从税收法律、法规、规章、规范性文件，并客观、真实地反映相关情况，不得隐瞒、捏造、歪曲事实，不得侵害他人合法权益。</w:t>
      </w:r>
    </w:p>
    <w:p w:rsidR="005B4A6C" w:rsidRDefault="00356BA4">
      <w:pPr>
        <w:widowControl/>
        <w:wordWrap w:val="0"/>
        <w:spacing w:line="360" w:lineRule="auto"/>
        <w:ind w:firstLine="480"/>
        <w:contextualSpacing/>
        <w:rPr>
          <w:rFonts w:ascii="宋体" w:hAnsi="宋体"/>
          <w:color w:val="000000" w:themeColor="text1"/>
          <w:sz w:val="24"/>
          <w:szCs w:val="24"/>
        </w:rPr>
      </w:pPr>
      <w:r>
        <w:rPr>
          <w:rFonts w:cs="Times New Roman" w:hint="eastAsia"/>
          <w:color w:val="000000" w:themeColor="text1"/>
          <w:sz w:val="24"/>
          <w:szCs w:val="24"/>
        </w:rPr>
        <w:t>3.</w:t>
      </w:r>
      <w:r>
        <w:rPr>
          <w:rFonts w:ascii="宋体" w:hAnsi="宋体"/>
          <w:color w:val="000000" w:themeColor="text1"/>
          <w:sz w:val="24"/>
          <w:szCs w:val="24"/>
        </w:rPr>
        <w:t>纳税人通过电话或者当面方式提出投诉的，税务机关在告知纳税人的情况下可以对投诉内容进行录音或者录像。</w:t>
      </w:r>
    </w:p>
    <w:p w:rsidR="005B4A6C" w:rsidRDefault="00356BA4">
      <w:pPr>
        <w:widowControl/>
        <w:wordWrap w:val="0"/>
        <w:spacing w:line="360" w:lineRule="auto"/>
        <w:ind w:firstLine="480"/>
        <w:contextualSpacing/>
      </w:pPr>
      <w:r>
        <w:rPr>
          <w:rFonts w:cs="Times New Roman" w:hint="eastAsia"/>
          <w:color w:val="000000" w:themeColor="text1"/>
          <w:sz w:val="24"/>
          <w:szCs w:val="24"/>
        </w:rPr>
        <w:t>4.</w:t>
      </w:r>
      <w:r>
        <w:rPr>
          <w:rFonts w:ascii="宋体" w:hAnsi="宋体"/>
          <w:color w:val="000000" w:themeColor="text1"/>
          <w:sz w:val="24"/>
          <w:szCs w:val="24"/>
        </w:rPr>
        <w:t>投诉人捏造事实、恶意投诉，或者干扰和影响正常工作秩序，对税务机关、税务人员造成负面影响的，投诉人应依法承担相应责任。</w:t>
      </w:r>
    </w:p>
    <w:sectPr w:rsidR="005B4A6C">
      <w:pgSz w:w="11906" w:h="16838"/>
      <w:pgMar w:top="1440" w:right="1800" w:bottom="1440" w:left="1800"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312" w:rsidRDefault="00A45312" w:rsidP="006E51E6">
      <w:r>
        <w:separator/>
      </w:r>
    </w:p>
  </w:endnote>
  <w:endnote w:type="continuationSeparator" w:id="0">
    <w:p w:rsidR="00A45312" w:rsidRDefault="00A45312" w:rsidP="006E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312" w:rsidRDefault="00A45312" w:rsidP="006E51E6">
      <w:r>
        <w:separator/>
      </w:r>
    </w:p>
  </w:footnote>
  <w:footnote w:type="continuationSeparator" w:id="0">
    <w:p w:rsidR="00A45312" w:rsidRDefault="00A45312" w:rsidP="006E5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HorizontalSpacing w:val="111"/>
  <w:drawingGridVerticalSpacing w:val="166"/>
  <w:displayHorizontalDrawingGridEvery w:val="0"/>
  <w:displayVerticalDrawingGridEvery w:val="2"/>
  <w:doNotUseMarginsForDrawingGridOrigin/>
  <w:drawingGridHorizontalOrigin w:val="1803"/>
  <w:drawingGridVerticalOrigin w:val="144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5F"/>
    <w:rsid w:val="00190FC0"/>
    <w:rsid w:val="001D5624"/>
    <w:rsid w:val="00220EB0"/>
    <w:rsid w:val="00356BA4"/>
    <w:rsid w:val="003A0924"/>
    <w:rsid w:val="003C4F50"/>
    <w:rsid w:val="00442AE2"/>
    <w:rsid w:val="004A499C"/>
    <w:rsid w:val="004C5186"/>
    <w:rsid w:val="00546438"/>
    <w:rsid w:val="00584A32"/>
    <w:rsid w:val="005B4A6C"/>
    <w:rsid w:val="00617542"/>
    <w:rsid w:val="00666B08"/>
    <w:rsid w:val="006E51E6"/>
    <w:rsid w:val="00783E54"/>
    <w:rsid w:val="008357F1"/>
    <w:rsid w:val="0087216C"/>
    <w:rsid w:val="00920179"/>
    <w:rsid w:val="009A7D32"/>
    <w:rsid w:val="009C15B9"/>
    <w:rsid w:val="009D5E02"/>
    <w:rsid w:val="00A45312"/>
    <w:rsid w:val="00A94FCF"/>
    <w:rsid w:val="00AE3AFA"/>
    <w:rsid w:val="00AE7DC6"/>
    <w:rsid w:val="00B42972"/>
    <w:rsid w:val="00D067B7"/>
    <w:rsid w:val="00D4615F"/>
    <w:rsid w:val="00DE09EE"/>
    <w:rsid w:val="00E64248"/>
    <w:rsid w:val="00EB696E"/>
    <w:rsid w:val="00ED57A4"/>
    <w:rsid w:val="0B340DB3"/>
    <w:rsid w:val="0E2B7344"/>
    <w:rsid w:val="169F6728"/>
    <w:rsid w:val="175D3983"/>
    <w:rsid w:val="1CFB6412"/>
    <w:rsid w:val="1F557C58"/>
    <w:rsid w:val="22567BFA"/>
    <w:rsid w:val="2AB37CA8"/>
    <w:rsid w:val="2DBF311F"/>
    <w:rsid w:val="2F3767C0"/>
    <w:rsid w:val="374D1547"/>
    <w:rsid w:val="3A1D1532"/>
    <w:rsid w:val="4A0B7911"/>
    <w:rsid w:val="4FB73FE2"/>
    <w:rsid w:val="54ED716B"/>
    <w:rsid w:val="55313AC0"/>
    <w:rsid w:val="56561A25"/>
    <w:rsid w:val="5CF675E4"/>
    <w:rsid w:val="5D8D3E78"/>
    <w:rsid w:val="632B11B5"/>
    <w:rsid w:val="66C35B8E"/>
    <w:rsid w:val="69E531BD"/>
    <w:rsid w:val="6C3D1409"/>
    <w:rsid w:val="719E073F"/>
    <w:rsid w:val="71C81322"/>
    <w:rsid w:val="7349262E"/>
    <w:rsid w:val="74E23E06"/>
    <w:rsid w:val="791934E0"/>
    <w:rsid w:val="7E7F5778"/>
    <w:rsid w:val="7F57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EA674"/>
  <w15:docId w15:val="{4CD693AD-5090-45CB-B891-9B8B6B42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宋体" w:hAnsi="Times New Roman" w:cs="宋体"/>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customStyle="1" w:styleId="21">
    <w:name w:val="样式2"/>
    <w:basedOn w:val="a1"/>
    <w:uiPriority w:val="99"/>
    <w:qFormat/>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ab">
    <w:name w:val="正文正文"/>
    <w:basedOn w:val="a"/>
    <w:link w:val="ac"/>
    <w:uiPriority w:val="99"/>
    <w:qFormat/>
    <w:pPr>
      <w:adjustRightInd w:val="0"/>
      <w:snapToGrid w:val="0"/>
      <w:spacing w:line="360" w:lineRule="auto"/>
      <w:ind w:firstLineChars="200" w:firstLine="480"/>
    </w:pPr>
    <w:rPr>
      <w:rFonts w:ascii="宋体" w:hAnsi="宋体" w:cs="Times New Roman"/>
      <w:kern w:val="0"/>
      <w:sz w:val="24"/>
      <w:szCs w:val="24"/>
    </w:rPr>
  </w:style>
  <w:style w:type="character" w:customStyle="1" w:styleId="ac">
    <w:name w:val="正文正文 字符"/>
    <w:link w:val="ab"/>
    <w:uiPriority w:val="99"/>
    <w:qFormat/>
    <w:locked/>
    <w:rPr>
      <w:rFonts w:ascii="宋体" w:eastAsia="宋体" w:hAnsi="宋体" w:cs="Times New Roman"/>
      <w:kern w:val="0"/>
      <w:sz w:val="24"/>
      <w:szCs w:val="24"/>
    </w:rPr>
  </w:style>
  <w:style w:type="paragraph" w:customStyle="1" w:styleId="11">
    <w:name w:val="样式1【标准】"/>
    <w:basedOn w:val="1"/>
    <w:link w:val="12"/>
    <w:qFormat/>
    <w:pPr>
      <w:tabs>
        <w:tab w:val="center" w:pos="4153"/>
        <w:tab w:val="left" w:pos="6771"/>
      </w:tabs>
      <w:topLinePunct/>
      <w:autoSpaceDE w:val="0"/>
      <w:autoSpaceDN w:val="0"/>
      <w:adjustRightInd w:val="0"/>
      <w:spacing w:beforeLines="100" w:afterLines="100" w:line="360" w:lineRule="auto"/>
      <w:ind w:firstLineChars="200" w:firstLine="723"/>
      <w:jc w:val="center"/>
    </w:pPr>
    <w:rPr>
      <w:rFonts w:eastAsia="黑体" w:cs="Times New Roman"/>
      <w:bCs w:val="0"/>
      <w:kern w:val="24"/>
      <w:sz w:val="36"/>
      <w:szCs w:val="36"/>
    </w:rPr>
  </w:style>
  <w:style w:type="character" w:customStyle="1" w:styleId="12">
    <w:name w:val="样式1【标准】 字符"/>
    <w:link w:val="11"/>
    <w:qFormat/>
    <w:rPr>
      <w:rFonts w:ascii="Times New Roman" w:eastAsia="黑体" w:hAnsi="Times New Roman" w:cs="Times New Roman"/>
      <w:b/>
      <w:kern w:val="24"/>
      <w:sz w:val="36"/>
      <w:szCs w:val="36"/>
    </w:rPr>
  </w:style>
  <w:style w:type="paragraph" w:customStyle="1" w:styleId="ad">
    <w:name w:val="二级标题"/>
    <w:basedOn w:val="2"/>
    <w:link w:val="ae"/>
    <w:qFormat/>
    <w:pPr>
      <w:spacing w:beforeLines="150" w:afterLines="150" w:line="360" w:lineRule="auto"/>
      <w:ind w:firstLineChars="200" w:firstLine="643"/>
    </w:pPr>
    <w:rPr>
      <w:rFonts w:ascii="Times New Roman" w:eastAsia="黑体" w:hAnsi="Times New Roman" w:cs="Times New Roman"/>
    </w:rPr>
  </w:style>
  <w:style w:type="character" w:customStyle="1" w:styleId="ae">
    <w:name w:val="二级标题 字符"/>
    <w:link w:val="ad"/>
    <w:qFormat/>
    <w:rPr>
      <w:rFonts w:ascii="Times New Roman" w:eastAsia="黑体" w:hAnsi="Times New Roman" w:cs="Times New Roman"/>
      <w:b/>
      <w:bCs/>
      <w:sz w:val="32"/>
      <w:szCs w:val="32"/>
    </w:rPr>
  </w:style>
  <w:style w:type="paragraph" w:customStyle="1" w:styleId="3sunshine">
    <w:name w:val="3 sunshine"/>
    <w:basedOn w:val="3"/>
    <w:link w:val="3sunshine0"/>
    <w:qFormat/>
    <w:pPr>
      <w:keepLines w:val="0"/>
      <w:topLinePunct/>
      <w:adjustRightInd w:val="0"/>
      <w:snapToGrid w:val="0"/>
      <w:spacing w:beforeLines="100" w:afterLines="100" w:line="360" w:lineRule="auto"/>
      <w:ind w:firstLineChars="200" w:firstLine="562"/>
    </w:pPr>
    <w:rPr>
      <w:rFonts w:eastAsia="黑体" w:cs="Times New Roman"/>
      <w:kern w:val="24"/>
      <w:sz w:val="28"/>
      <w:szCs w:val="28"/>
    </w:rPr>
  </w:style>
  <w:style w:type="character" w:customStyle="1" w:styleId="3sunshine0">
    <w:name w:val="3 sunshine 字符"/>
    <w:link w:val="3sunshine"/>
    <w:qFormat/>
    <w:rPr>
      <w:rFonts w:ascii="Times New Roman" w:eastAsia="黑体" w:hAnsi="Times New Roman" w:cs="Times New Roman"/>
      <w:b/>
      <w:bCs/>
      <w:kern w:val="24"/>
      <w:sz w:val="28"/>
      <w:szCs w:val="28"/>
    </w:rPr>
  </w:style>
  <w:style w:type="character" w:customStyle="1" w:styleId="10">
    <w:name w:val="标题 1 字符"/>
    <w:basedOn w:val="a0"/>
    <w:link w:val="1"/>
    <w:uiPriority w:val="9"/>
    <w:qFormat/>
    <w:rPr>
      <w:rFonts w:ascii="等线" w:eastAsia="等线" w:hAnsi="等线" w:cs="等线"/>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Pr>
      <w:rFonts w:ascii="等线" w:eastAsia="等线" w:hAnsi="等线" w:cs="等线"/>
      <w:b/>
      <w:bCs/>
      <w:sz w:val="32"/>
      <w:szCs w:val="32"/>
    </w:rPr>
  </w:style>
  <w:style w:type="character" w:customStyle="1" w:styleId="a4">
    <w:name w:val="文档结构图 字符"/>
    <w:basedOn w:val="a0"/>
    <w:link w:val="a3"/>
    <w:uiPriority w:val="99"/>
    <w:semiHidden/>
    <w:qFormat/>
    <w:rPr>
      <w:rFonts w:ascii="宋体" w:eastAsia="宋体" w:hAnsi="等线" w:cs="等线"/>
      <w:sz w:val="18"/>
      <w:szCs w:val="18"/>
    </w:rPr>
  </w:style>
  <w:style w:type="character" w:customStyle="1" w:styleId="a6">
    <w:name w:val="批注框文本 字符"/>
    <w:basedOn w:val="a0"/>
    <w:link w:val="a5"/>
    <w:uiPriority w:val="99"/>
    <w:semiHidden/>
    <w:qFormat/>
    <w:rPr>
      <w:rFonts w:ascii="等线" w:eastAsia="等线" w:hAnsi="等线" w:cs="等线"/>
      <w:sz w:val="18"/>
      <w:szCs w:val="18"/>
    </w:rPr>
  </w:style>
  <w:style w:type="paragraph" w:customStyle="1" w:styleId="af">
    <w:name w:val="材料 表头"/>
    <w:basedOn w:val="af0"/>
    <w:qFormat/>
  </w:style>
  <w:style w:type="paragraph" w:customStyle="1" w:styleId="af0">
    <w:name w:val="政策 表头"/>
    <w:basedOn w:val="a"/>
    <w:qFormat/>
    <w:pPr>
      <w:jc w:val="center"/>
    </w:pPr>
    <w:rPr>
      <w:rFonts w:ascii="黑体" w:eastAsia="黑体" w:hAnsi="黑体"/>
      <w:lang w:val="zh-CN"/>
    </w:rPr>
  </w:style>
  <w:style w:type="paragraph" w:customStyle="1" w:styleId="af1">
    <w:name w:val="材料 文本"/>
    <w:basedOn w:val="a"/>
    <w:qFormat/>
    <w:pPr>
      <w:jc w:val="center"/>
    </w:pPr>
    <w:rPr>
      <w:rFonts w:ascii="黑体" w:eastAsia="黑体" w:hAnsi="黑体"/>
      <w:sz w:val="18"/>
      <w:szCs w:val="18"/>
    </w:rPr>
  </w:style>
  <w:style w:type="character" w:styleId="af2">
    <w:name w:val="Hyperlink"/>
    <w:basedOn w:val="a0"/>
    <w:uiPriority w:val="99"/>
    <w:unhideWhenUsed/>
    <w:qFormat/>
    <w:rsid w:val="006E51E6"/>
    <w:rPr>
      <w:color w:val="0000FF"/>
      <w:u w:val="single"/>
    </w:rPr>
  </w:style>
  <w:style w:type="paragraph" w:customStyle="1" w:styleId="af3">
    <w:name w:val="事项名称"/>
    <w:basedOn w:val="a"/>
    <w:next w:val="a"/>
    <w:qFormat/>
    <w:rsid w:val="006E5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xinjiang.chinatax.gov.cn/" TargetMode="External"/><Relationship Id="rId3" Type="http://schemas.openxmlformats.org/officeDocument/2006/relationships/settings" Target="settings.xml"/><Relationship Id="rId7" Type="http://schemas.openxmlformats.org/officeDocument/2006/relationships/hyperlink" Target="https://etax.xinjiang.chinatax.gov.cn/yhs-web/cxzx/bma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tax.xinjiang.chinatax.gov.cn/yhs-web/cxzx/bmap.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273</Words>
  <Characters>1559</Characters>
  <Application>Microsoft Office Word</Application>
  <DocSecurity>0</DocSecurity>
  <Lines>12</Lines>
  <Paragraphs>3</Paragraphs>
  <ScaleCrop>false</ScaleCrop>
  <Company>Microsoft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 张</dc:creator>
  <cp:lastModifiedBy>liyongbin</cp:lastModifiedBy>
  <cp:revision>4</cp:revision>
  <dcterms:created xsi:type="dcterms:W3CDTF">2019-10-30T04:37:00Z</dcterms:created>
  <dcterms:modified xsi:type="dcterms:W3CDTF">2019-10-31T02:57:00Z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