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8BC" w:rsidRDefault="00071150">
      <w:pPr>
        <w:pStyle w:val="13"/>
        <w:keepNext w:val="0"/>
        <w:keepLines w:val="0"/>
        <w:wordWrap w:val="0"/>
        <w:topLinePunct w:val="0"/>
        <w:autoSpaceDE/>
        <w:autoSpaceDN/>
        <w:adjustRightInd/>
        <w:spacing w:before="332" w:after="332"/>
        <w:rPr>
          <w:bCs/>
        </w:rPr>
      </w:pPr>
      <w:bookmarkStart w:id="0" w:name="_Toc25425"/>
      <w:bookmarkStart w:id="1" w:name="_Toc11178"/>
      <w:bookmarkStart w:id="2" w:name="_Toc2461"/>
      <w:bookmarkStart w:id="3" w:name="_Toc27085"/>
      <w:bookmarkStart w:id="4" w:name="_Toc28361"/>
      <w:bookmarkStart w:id="5" w:name="_Toc12415"/>
      <w:bookmarkStart w:id="6" w:name="_Toc23402"/>
      <w:bookmarkStart w:id="7" w:name="_Toc5696"/>
      <w:bookmarkStart w:id="8" w:name="_Toc9498"/>
      <w:bookmarkStart w:id="9" w:name="_Toc1566"/>
      <w:bookmarkStart w:id="10" w:name="_Toc23904"/>
      <w:bookmarkStart w:id="11" w:name="_Toc12191"/>
      <w:bookmarkStart w:id="12" w:name="_Toc12343"/>
      <w:bookmarkStart w:id="13" w:name="_Toc2420"/>
      <w:bookmarkStart w:id="14" w:name="_Toc21085"/>
      <w:bookmarkStart w:id="15" w:name="_Toc459382423"/>
      <w:bookmarkStart w:id="16" w:name="_Toc25441"/>
      <w:bookmarkStart w:id="17" w:name="_Toc3205"/>
      <w:r>
        <w:rPr>
          <w:rFonts w:hint="eastAsia"/>
          <w:bCs/>
        </w:rPr>
        <w:t>5</w:t>
      </w:r>
      <w:r>
        <w:rPr>
          <w:rFonts w:hint="eastAsia"/>
          <w:bCs/>
        </w:rPr>
        <w:t xml:space="preserve">　证明办理</w:t>
      </w:r>
      <w:r>
        <w:rPr>
          <w:rFonts w:hint="eastAsia"/>
          <w:bCs/>
        </w:rPr>
        <w:t>指南</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AE78BC" w:rsidRDefault="00071150">
      <w:pPr>
        <w:wordWrap w:val="0"/>
        <w:spacing w:line="360" w:lineRule="auto"/>
        <w:ind w:firstLineChars="200" w:firstLine="480"/>
        <w:rPr>
          <w:rFonts w:ascii="楷体" w:eastAsia="楷体" w:hAnsi="楷体"/>
          <w:sz w:val="24"/>
          <w:szCs w:val="24"/>
        </w:rPr>
      </w:pPr>
      <w:r>
        <w:rPr>
          <w:rFonts w:ascii="楷体" w:eastAsia="楷体" w:hAnsi="楷体" w:hint="eastAsia"/>
          <w:sz w:val="24"/>
          <w:szCs w:val="24"/>
        </w:rPr>
        <w:t>税收证明，是指主管税务机关依法为纳税人出具的对其资产、行为、收入征（免）税情况的要式证明，供纳税人提交第三方使用。证明办理</w:t>
      </w:r>
      <w:r>
        <w:rPr>
          <w:rFonts w:ascii="楷体" w:eastAsia="楷体" w:hAnsi="楷体" w:hint="eastAsia"/>
          <w:sz w:val="24"/>
          <w:szCs w:val="24"/>
        </w:rPr>
        <w:t>指南适用于</w:t>
      </w:r>
      <w:r>
        <w:rPr>
          <w:rFonts w:ascii="楷体" w:eastAsia="楷体" w:hAnsi="楷体" w:hint="eastAsia"/>
          <w:sz w:val="24"/>
          <w:szCs w:val="24"/>
        </w:rPr>
        <w:t>纳税人</w:t>
      </w:r>
      <w:r>
        <w:rPr>
          <w:rFonts w:ascii="楷体" w:eastAsia="楷体" w:hAnsi="楷体" w:hint="eastAsia"/>
          <w:sz w:val="24"/>
          <w:szCs w:val="24"/>
        </w:rPr>
        <w:t>到税务机关</w:t>
      </w:r>
      <w:r>
        <w:rPr>
          <w:rFonts w:ascii="楷体" w:eastAsia="楷体" w:hAnsi="楷体" w:hint="eastAsia"/>
          <w:sz w:val="24"/>
          <w:szCs w:val="24"/>
        </w:rPr>
        <w:t>办理</w:t>
      </w:r>
      <w:r>
        <w:rPr>
          <w:rFonts w:ascii="楷体" w:eastAsia="楷体" w:hAnsi="楷体" w:hint="eastAsia"/>
          <w:sz w:val="24"/>
          <w:szCs w:val="24"/>
        </w:rPr>
        <w:t>相关</w:t>
      </w:r>
      <w:r>
        <w:rPr>
          <w:rFonts w:ascii="楷体" w:eastAsia="楷体" w:hAnsi="楷体" w:hint="eastAsia"/>
          <w:sz w:val="24"/>
          <w:szCs w:val="24"/>
        </w:rPr>
        <w:t>税收证明开具</w:t>
      </w:r>
      <w:r>
        <w:rPr>
          <w:rFonts w:ascii="楷体" w:eastAsia="楷体" w:hAnsi="楷体" w:hint="eastAsia"/>
          <w:sz w:val="24"/>
          <w:szCs w:val="24"/>
        </w:rPr>
        <w:t>业务</w:t>
      </w:r>
      <w:r>
        <w:rPr>
          <w:rFonts w:ascii="楷体" w:eastAsia="楷体" w:hAnsi="楷体" w:hint="eastAsia"/>
          <w:sz w:val="24"/>
          <w:szCs w:val="24"/>
        </w:rPr>
        <w:t>，包括</w:t>
      </w:r>
      <w:r>
        <w:rPr>
          <w:rFonts w:ascii="楷体" w:eastAsia="楷体" w:hAnsi="楷体" w:hint="eastAsia"/>
          <w:sz w:val="24"/>
          <w:szCs w:val="24"/>
        </w:rPr>
        <w:t>1</w:t>
      </w:r>
      <w:r>
        <w:rPr>
          <w:rFonts w:ascii="楷体" w:eastAsia="楷体" w:hAnsi="楷体" w:hint="eastAsia"/>
          <w:sz w:val="24"/>
          <w:szCs w:val="24"/>
        </w:rPr>
        <w:t>类</w:t>
      </w:r>
      <w:r>
        <w:rPr>
          <w:rFonts w:ascii="楷体" w:eastAsia="楷体" w:hAnsi="楷体" w:hint="eastAsia"/>
          <w:sz w:val="24"/>
          <w:szCs w:val="24"/>
        </w:rPr>
        <w:t>3</w:t>
      </w:r>
      <w:r>
        <w:rPr>
          <w:rFonts w:ascii="楷体" w:eastAsia="楷体" w:hAnsi="楷体" w:hint="eastAsia"/>
          <w:sz w:val="24"/>
          <w:szCs w:val="24"/>
        </w:rPr>
        <w:t>个事项。</w:t>
      </w:r>
    </w:p>
    <w:p w:rsidR="00AE78BC" w:rsidRDefault="00071150">
      <w:pPr>
        <w:pStyle w:val="afc"/>
        <w:keepNext w:val="0"/>
        <w:keepLines w:val="0"/>
        <w:wordWrap w:val="0"/>
        <w:spacing w:beforeLines="300" w:before="996" w:after="498"/>
      </w:pPr>
      <w:r>
        <w:rPr>
          <w:rFonts w:hint="eastAsia"/>
        </w:rPr>
        <w:t>5</w:t>
      </w:r>
      <w:r>
        <w:rPr>
          <w:rFonts w:hint="eastAsia"/>
        </w:rPr>
        <w:t>.</w:t>
      </w:r>
      <w:r>
        <w:rPr>
          <w:rFonts w:hint="eastAsia"/>
        </w:rPr>
        <w:t>1</w:t>
      </w:r>
      <w:r>
        <w:t xml:space="preserve">　</w:t>
      </w:r>
      <w:r>
        <w:rPr>
          <w:rFonts w:hint="eastAsia"/>
        </w:rPr>
        <w:t>证明开具</w:t>
      </w:r>
    </w:p>
    <w:p w:rsidR="00AE78BC" w:rsidRDefault="00071150">
      <w:pPr>
        <w:wordWrap w:val="0"/>
        <w:spacing w:beforeLines="100" w:before="332" w:afterLines="100" w:after="332" w:line="360" w:lineRule="auto"/>
        <w:ind w:firstLineChars="200" w:firstLine="562"/>
        <w:outlineLvl w:val="2"/>
        <w:rPr>
          <w:rFonts w:ascii="Times New Roman" w:eastAsia="黑体" w:hAnsi="Times New Roman" w:cs="Times New Roman"/>
          <w:b/>
          <w:bCs/>
          <w:kern w:val="24"/>
          <w:sz w:val="28"/>
          <w:szCs w:val="28"/>
        </w:rPr>
      </w:pPr>
      <w:r>
        <w:rPr>
          <w:rFonts w:ascii="Times New Roman" w:eastAsia="黑体" w:hAnsi="Times New Roman" w:cs="Times New Roman" w:hint="eastAsia"/>
          <w:b/>
          <w:bCs/>
          <w:kern w:val="24"/>
          <w:sz w:val="28"/>
          <w:szCs w:val="28"/>
        </w:rPr>
        <w:t>5</w:t>
      </w:r>
      <w:r>
        <w:rPr>
          <w:rFonts w:ascii="Times New Roman" w:eastAsia="黑体" w:hAnsi="Times New Roman" w:cs="Times New Roman" w:hint="eastAsia"/>
          <w:b/>
          <w:bCs/>
          <w:kern w:val="24"/>
          <w:sz w:val="28"/>
          <w:szCs w:val="28"/>
        </w:rPr>
        <w:t>.</w:t>
      </w:r>
      <w:r>
        <w:rPr>
          <w:rFonts w:ascii="Times New Roman" w:eastAsia="黑体" w:hAnsi="Times New Roman" w:cs="Times New Roman"/>
          <w:b/>
          <w:bCs/>
          <w:kern w:val="24"/>
          <w:sz w:val="28"/>
          <w:szCs w:val="28"/>
        </w:rPr>
        <w:t>1</w:t>
      </w:r>
      <w:r>
        <w:rPr>
          <w:rFonts w:ascii="Times New Roman" w:eastAsia="黑体" w:hAnsi="Times New Roman" w:cs="Times New Roman" w:hint="eastAsia"/>
          <w:b/>
          <w:bCs/>
          <w:kern w:val="24"/>
          <w:sz w:val="28"/>
          <w:szCs w:val="28"/>
        </w:rPr>
        <w:t>.</w:t>
      </w:r>
      <w:r>
        <w:rPr>
          <w:rFonts w:ascii="Times New Roman" w:eastAsia="黑体" w:hAnsi="Times New Roman" w:cs="Times New Roman"/>
          <w:b/>
          <w:bCs/>
          <w:kern w:val="24"/>
          <w:sz w:val="28"/>
          <w:szCs w:val="28"/>
        </w:rPr>
        <w:t>1—</w:t>
      </w:r>
      <w:r>
        <w:rPr>
          <w:rFonts w:ascii="Times New Roman" w:eastAsia="黑体" w:hAnsi="Times New Roman" w:cs="Times New Roman" w:hint="eastAsia"/>
          <w:b/>
          <w:bCs/>
          <w:kern w:val="24"/>
          <w:sz w:val="28"/>
          <w:szCs w:val="28"/>
        </w:rPr>
        <w:t>1</w:t>
      </w:r>
      <w:r>
        <w:rPr>
          <w:rFonts w:ascii="Times New Roman" w:eastAsia="黑体" w:hAnsi="Times New Roman" w:cs="Times New Roman" w:hint="eastAsia"/>
          <w:b/>
          <w:bCs/>
          <w:kern w:val="24"/>
          <w:sz w:val="28"/>
          <w:szCs w:val="28"/>
        </w:rPr>
        <w:t>29</w:t>
      </w:r>
      <w:r>
        <w:rPr>
          <w:rFonts w:ascii="Times New Roman" w:eastAsia="黑体" w:hAnsi="Times New Roman" w:cs="Times New Roman" w:hint="eastAsia"/>
          <w:b/>
          <w:bCs/>
          <w:kern w:val="24"/>
          <w:sz w:val="28"/>
          <w:szCs w:val="28"/>
        </w:rPr>
        <w:t xml:space="preserve">　开具税收完税证明</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【事项名称】</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开具税收完税证明</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【申请条件】</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税收完税证明是税务机关为证明纳税人已经缴纳税款或者已经退还纳税人税款而开具的凭证。纳税人符合下列情形之一的，可以申请</w:t>
      </w:r>
      <w:r>
        <w:rPr>
          <w:rFonts w:ascii="宋体" w:eastAsia="宋体" w:hAnsi="宋体" w:hint="eastAsia"/>
          <w:sz w:val="24"/>
          <w:szCs w:val="24"/>
        </w:rPr>
        <w:t>开</w:t>
      </w:r>
      <w:r>
        <w:rPr>
          <w:rFonts w:ascii="宋体" w:eastAsia="宋体" w:hAnsi="宋体" w:hint="eastAsia"/>
          <w:sz w:val="24"/>
          <w:szCs w:val="24"/>
        </w:rPr>
        <w:t>具税收完税证明：</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Times New Roman" w:eastAsia="宋体" w:hAnsi="Times New Roman" w:hint="eastAsia"/>
          <w:sz w:val="24"/>
          <w:szCs w:val="24"/>
        </w:rPr>
        <w:t>.</w:t>
      </w:r>
      <w:r>
        <w:rPr>
          <w:rFonts w:ascii="宋体" w:eastAsia="宋体" w:hAnsi="宋体" w:hint="eastAsia"/>
          <w:sz w:val="24"/>
          <w:szCs w:val="24"/>
        </w:rPr>
        <w:t>通过横向联网电子缴税系统划缴税款到国库（经收处）后或收到从国库退还的税款后，当场或事后需要取得税收票证的。</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sz w:val="24"/>
          <w:szCs w:val="24"/>
        </w:rPr>
        <w:t>2</w:t>
      </w:r>
      <w:r>
        <w:rPr>
          <w:rFonts w:ascii="Times New Roman" w:eastAsia="宋体" w:hAnsi="Times New Roman" w:hint="eastAsia"/>
          <w:sz w:val="24"/>
          <w:szCs w:val="24"/>
        </w:rPr>
        <w:t>.</w:t>
      </w:r>
      <w:r>
        <w:rPr>
          <w:rFonts w:ascii="宋体" w:eastAsia="宋体" w:hAnsi="宋体" w:hint="eastAsia"/>
          <w:sz w:val="24"/>
          <w:szCs w:val="24"/>
        </w:rPr>
        <w:t>扣缴义务人代扣、代收税款后，已经向纳税人开具税法规定或国家税务总局认可的记载完税情况的其他凭证，纳税人需要换开正式完税凭证的。</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sz w:val="24"/>
          <w:szCs w:val="24"/>
        </w:rPr>
        <w:t>3</w:t>
      </w:r>
      <w:r>
        <w:rPr>
          <w:rFonts w:ascii="Times New Roman" w:eastAsia="宋体" w:hAnsi="Times New Roman" w:hint="eastAsia"/>
          <w:sz w:val="24"/>
          <w:szCs w:val="24"/>
        </w:rPr>
        <w:t>.</w:t>
      </w:r>
      <w:r>
        <w:rPr>
          <w:rFonts w:ascii="宋体" w:eastAsia="宋体" w:hAnsi="宋体" w:hint="eastAsia"/>
          <w:sz w:val="24"/>
          <w:szCs w:val="24"/>
        </w:rPr>
        <w:t>纳税人遗失已完税的各种税收票证（《出口货物完税分割单》、印花税票和《印花税票销售凭证》除外），需要重新开具的。</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sz w:val="24"/>
          <w:szCs w:val="24"/>
        </w:rPr>
        <w:t>4</w:t>
      </w:r>
      <w:r>
        <w:rPr>
          <w:rFonts w:ascii="Times New Roman" w:eastAsia="宋体" w:hAnsi="Times New Roman" w:hint="eastAsia"/>
          <w:sz w:val="24"/>
          <w:szCs w:val="24"/>
        </w:rPr>
        <w:t>.</w:t>
      </w:r>
      <w:r>
        <w:rPr>
          <w:rFonts w:ascii="宋体" w:eastAsia="宋体" w:hAnsi="宋体" w:hint="eastAsia"/>
          <w:sz w:val="24"/>
          <w:szCs w:val="24"/>
        </w:rPr>
        <w:t>对纳税人特定期间完税情况出具证明的。</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sz w:val="24"/>
          <w:szCs w:val="24"/>
        </w:rPr>
        <w:t>5</w:t>
      </w:r>
      <w:r>
        <w:rPr>
          <w:rFonts w:ascii="Times New Roman" w:eastAsia="宋体" w:hAnsi="Times New Roman" w:hint="eastAsia"/>
          <w:sz w:val="24"/>
          <w:szCs w:val="24"/>
        </w:rPr>
        <w:t>.</w:t>
      </w:r>
      <w:r>
        <w:rPr>
          <w:rFonts w:ascii="宋体" w:eastAsia="宋体" w:hAnsi="宋体" w:hint="eastAsia"/>
          <w:sz w:val="24"/>
          <w:szCs w:val="24"/>
        </w:rPr>
        <w:t>国家税务总局规定的其他需要为纳税人开具完税凭证情形。</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【设定依据】</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Times New Roman" w:eastAsia="宋体" w:hAnsi="Times New Roman" w:hint="eastAsia"/>
          <w:sz w:val="24"/>
          <w:szCs w:val="24"/>
        </w:rPr>
        <w:t>.</w:t>
      </w:r>
      <w:r>
        <w:rPr>
          <w:rFonts w:ascii="宋体" w:eastAsia="宋体" w:hAnsi="宋体" w:hint="eastAsia"/>
          <w:sz w:val="24"/>
          <w:szCs w:val="24"/>
        </w:rPr>
        <w:t>《中华人民共和国税收征收管理法》第三十四条</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Times New Roman" w:eastAsia="宋体" w:hAnsi="Times New Roman" w:hint="eastAsia"/>
          <w:sz w:val="24"/>
          <w:szCs w:val="24"/>
        </w:rPr>
        <w:t>.</w:t>
      </w:r>
      <w:r>
        <w:rPr>
          <w:rFonts w:ascii="宋体" w:eastAsia="宋体" w:hAnsi="宋体" w:hint="eastAsia"/>
          <w:sz w:val="24"/>
          <w:szCs w:val="24"/>
        </w:rPr>
        <w:t>《中华人民共和国税收征收管理法实施细则》第四十六条</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3</w:t>
      </w:r>
      <w:r>
        <w:rPr>
          <w:rFonts w:ascii="Times New Roman" w:eastAsia="宋体" w:hAnsi="Times New Roman" w:hint="eastAsia"/>
          <w:sz w:val="24"/>
          <w:szCs w:val="24"/>
        </w:rPr>
        <w:t>.</w:t>
      </w:r>
      <w:r>
        <w:rPr>
          <w:rFonts w:ascii="宋体" w:eastAsia="宋体" w:hAnsi="宋体" w:hint="eastAsia"/>
          <w:sz w:val="24"/>
          <w:szCs w:val="24"/>
        </w:rPr>
        <w:t>《税收票证管理办法》（国家税务总局令第</w:t>
      </w:r>
      <w:r>
        <w:rPr>
          <w:rFonts w:ascii="宋体" w:eastAsia="宋体" w:hAnsi="宋体" w:hint="eastAsia"/>
          <w:sz w:val="24"/>
          <w:szCs w:val="24"/>
        </w:rPr>
        <w:t>28</w:t>
      </w:r>
      <w:r>
        <w:rPr>
          <w:rFonts w:ascii="宋体" w:eastAsia="宋体" w:hAnsi="宋体" w:hint="eastAsia"/>
          <w:sz w:val="24"/>
          <w:szCs w:val="24"/>
        </w:rPr>
        <w:t>号公布，国家税务总局令第</w:t>
      </w:r>
      <w:r>
        <w:rPr>
          <w:rFonts w:ascii="宋体" w:eastAsia="宋体" w:hAnsi="宋体" w:hint="eastAsia"/>
          <w:sz w:val="24"/>
          <w:szCs w:val="24"/>
        </w:rPr>
        <w:t>48</w:t>
      </w:r>
      <w:r>
        <w:rPr>
          <w:rFonts w:ascii="宋体" w:eastAsia="宋体" w:hAnsi="宋体" w:hint="eastAsia"/>
          <w:sz w:val="24"/>
          <w:szCs w:val="24"/>
        </w:rPr>
        <w:t>号修改）</w:t>
      </w:r>
      <w:r>
        <w:rPr>
          <w:rFonts w:ascii="宋体" w:eastAsia="宋体" w:hAnsi="宋体" w:hint="eastAsia"/>
          <w:sz w:val="24"/>
          <w:szCs w:val="24"/>
        </w:rPr>
        <w:t>第十七条</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3"/>
        <w:gridCol w:w="3273"/>
        <w:gridCol w:w="709"/>
        <w:gridCol w:w="1709"/>
      </w:tblGrid>
      <w:tr w:rsidR="00AE78BC">
        <w:trPr>
          <w:trHeight w:hRule="exact" w:val="850"/>
          <w:jc w:val="center"/>
        </w:trPr>
        <w:tc>
          <w:tcPr>
            <w:tcW w:w="2473"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适用情形</w:t>
            </w:r>
          </w:p>
        </w:tc>
        <w:tc>
          <w:tcPr>
            <w:tcW w:w="3273"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材料名称</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数量</w:t>
            </w:r>
          </w:p>
        </w:tc>
        <w:tc>
          <w:tcPr>
            <w:tcW w:w="1709"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备注</w:t>
            </w:r>
          </w:p>
        </w:tc>
      </w:tr>
      <w:tr w:rsidR="00AE78BC">
        <w:trPr>
          <w:trHeight w:val="964"/>
          <w:jc w:val="center"/>
        </w:trPr>
        <w:tc>
          <w:tcPr>
            <w:tcW w:w="2473" w:type="dxa"/>
            <w:tcBorders>
              <w:left w:val="single" w:sz="4" w:space="0" w:color="auto"/>
              <w:right w:val="single" w:sz="4" w:space="0" w:color="auto"/>
            </w:tcBorders>
            <w:vAlign w:val="center"/>
          </w:tcPr>
          <w:p w:rsidR="00AE78BC" w:rsidRDefault="00071150">
            <w:pPr>
              <w:wordWrap w:val="0"/>
              <w:jc w:val="center"/>
              <w:rPr>
                <w:rFonts w:ascii="黑体" w:eastAsia="黑体" w:hAnsi="黑体" w:cs="Times New Roman"/>
                <w:sz w:val="18"/>
                <w:szCs w:val="18"/>
              </w:rPr>
            </w:pPr>
            <w:r>
              <w:rPr>
                <w:rFonts w:ascii="黑体" w:eastAsia="黑体" w:hAnsi="黑体" w:cs="Microsoft Himalaya" w:hint="eastAsia"/>
                <w:sz w:val="18"/>
                <w:szCs w:val="18"/>
              </w:rPr>
              <w:t>已办理税务登记的纳税人</w:t>
            </w:r>
          </w:p>
        </w:tc>
        <w:tc>
          <w:tcPr>
            <w:tcW w:w="3273" w:type="dxa"/>
            <w:tcBorders>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加载统一社会信用代码的营业执照（或税务登记证、组织机构代码证等）原件</w:t>
            </w:r>
          </w:p>
        </w:tc>
        <w:tc>
          <w:tcPr>
            <w:tcW w:w="709"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1</w:t>
            </w:r>
            <w:r>
              <w:rPr>
                <w:rFonts w:ascii="黑体" w:eastAsia="黑体" w:hAnsi="黑体" w:cs="Microsoft Himalaya" w:hint="eastAsia"/>
                <w:sz w:val="18"/>
                <w:szCs w:val="18"/>
              </w:rPr>
              <w:t>份</w:t>
            </w:r>
          </w:p>
        </w:tc>
        <w:tc>
          <w:tcPr>
            <w:tcW w:w="1709"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查验后退回</w:t>
            </w:r>
          </w:p>
        </w:tc>
      </w:tr>
      <w:tr w:rsidR="00AE78BC">
        <w:trPr>
          <w:trHeight w:val="964"/>
          <w:jc w:val="center"/>
        </w:trPr>
        <w:tc>
          <w:tcPr>
            <w:tcW w:w="2473" w:type="dxa"/>
            <w:tcBorders>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自然人</w:t>
            </w:r>
          </w:p>
        </w:tc>
        <w:tc>
          <w:tcPr>
            <w:tcW w:w="3273" w:type="dxa"/>
            <w:tcBorders>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身份证件原件</w:t>
            </w:r>
          </w:p>
        </w:tc>
        <w:tc>
          <w:tcPr>
            <w:tcW w:w="709"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1</w:t>
            </w:r>
            <w:r>
              <w:rPr>
                <w:rFonts w:ascii="黑体" w:eastAsia="黑体" w:hAnsi="黑体" w:cs="Microsoft Himalaya" w:hint="eastAsia"/>
                <w:sz w:val="18"/>
                <w:szCs w:val="18"/>
              </w:rPr>
              <w:t>份</w:t>
            </w:r>
          </w:p>
        </w:tc>
        <w:tc>
          <w:tcPr>
            <w:tcW w:w="1709"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查验后退回</w:t>
            </w:r>
          </w:p>
        </w:tc>
      </w:tr>
      <w:tr w:rsidR="00AE78BC">
        <w:trPr>
          <w:trHeight w:val="1304"/>
          <w:jc w:val="center"/>
        </w:trPr>
        <w:tc>
          <w:tcPr>
            <w:tcW w:w="2473" w:type="dxa"/>
            <w:tcBorders>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证券交易场所和证券登记结算机构扣缴证券交易印花税后，需要换开税收完税证明</w:t>
            </w:r>
          </w:p>
        </w:tc>
        <w:tc>
          <w:tcPr>
            <w:tcW w:w="3273" w:type="dxa"/>
            <w:tcBorders>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加盖开具单位的相关业务章戳的“成交过户交割凭单”或“过户登记确认书”</w:t>
            </w:r>
          </w:p>
        </w:tc>
        <w:tc>
          <w:tcPr>
            <w:tcW w:w="709"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1</w:t>
            </w:r>
            <w:r>
              <w:rPr>
                <w:rFonts w:ascii="黑体" w:eastAsia="黑体" w:hAnsi="黑体" w:cs="Microsoft Himalaya" w:hint="eastAsia"/>
                <w:sz w:val="18"/>
                <w:szCs w:val="18"/>
              </w:rPr>
              <w:t>份</w:t>
            </w:r>
          </w:p>
        </w:tc>
        <w:tc>
          <w:tcPr>
            <w:tcW w:w="1709" w:type="dxa"/>
            <w:tcBorders>
              <w:top w:val="single" w:sz="4" w:space="0" w:color="auto"/>
              <w:left w:val="single" w:sz="4" w:space="0" w:color="auto"/>
              <w:bottom w:val="single" w:sz="4" w:space="0" w:color="auto"/>
              <w:right w:val="single" w:sz="4" w:space="0" w:color="auto"/>
            </w:tcBorders>
            <w:vAlign w:val="center"/>
          </w:tcPr>
          <w:p w:rsidR="00AE78BC" w:rsidRDefault="00AE78BC">
            <w:pPr>
              <w:wordWrap w:val="0"/>
              <w:jc w:val="center"/>
              <w:rPr>
                <w:rFonts w:ascii="黑体" w:eastAsia="黑体" w:hAnsi="黑体" w:cs="Microsoft Himalaya"/>
                <w:sz w:val="18"/>
                <w:szCs w:val="18"/>
              </w:rPr>
            </w:pPr>
          </w:p>
        </w:tc>
      </w:tr>
      <w:tr w:rsidR="00AE78BC">
        <w:trPr>
          <w:trHeight w:val="1304"/>
          <w:jc w:val="center"/>
        </w:trPr>
        <w:tc>
          <w:tcPr>
            <w:tcW w:w="2473" w:type="dxa"/>
            <w:tcBorders>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通过保险机构缴纳车船税后，需要换开税收完税证明</w:t>
            </w:r>
          </w:p>
        </w:tc>
        <w:tc>
          <w:tcPr>
            <w:tcW w:w="3273" w:type="dxa"/>
            <w:tcBorders>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记载车船税完税情况的“交强险”保险单复印件</w:t>
            </w:r>
          </w:p>
        </w:tc>
        <w:tc>
          <w:tcPr>
            <w:tcW w:w="709"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1</w:t>
            </w:r>
            <w:r>
              <w:rPr>
                <w:rFonts w:ascii="黑体" w:eastAsia="黑体" w:hAnsi="黑体" w:cs="Microsoft Himalaya" w:hint="eastAsia"/>
                <w:sz w:val="18"/>
                <w:szCs w:val="18"/>
              </w:rPr>
              <w:t>份</w:t>
            </w:r>
          </w:p>
        </w:tc>
        <w:tc>
          <w:tcPr>
            <w:tcW w:w="1709" w:type="dxa"/>
            <w:tcBorders>
              <w:top w:val="single" w:sz="4" w:space="0" w:color="auto"/>
              <w:left w:val="single" w:sz="4" w:space="0" w:color="auto"/>
              <w:bottom w:val="single" w:sz="4" w:space="0" w:color="auto"/>
              <w:right w:val="single" w:sz="4" w:space="0" w:color="auto"/>
            </w:tcBorders>
            <w:vAlign w:val="center"/>
          </w:tcPr>
          <w:p w:rsidR="00AE78BC" w:rsidRDefault="00AE78BC">
            <w:pPr>
              <w:wordWrap w:val="0"/>
              <w:jc w:val="center"/>
              <w:rPr>
                <w:rFonts w:ascii="黑体" w:eastAsia="黑体" w:hAnsi="黑体" w:cs="Microsoft Himalaya"/>
                <w:sz w:val="18"/>
                <w:szCs w:val="18"/>
              </w:rPr>
            </w:pPr>
          </w:p>
        </w:tc>
      </w:tr>
      <w:tr w:rsidR="00AE78BC">
        <w:trPr>
          <w:trHeight w:val="1304"/>
          <w:jc w:val="center"/>
        </w:trPr>
        <w:tc>
          <w:tcPr>
            <w:tcW w:w="2473" w:type="dxa"/>
            <w:tcBorders>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储蓄机构扣缴储蓄存款利息所得税后，需要换开税收完税证明</w:t>
            </w:r>
          </w:p>
        </w:tc>
        <w:tc>
          <w:tcPr>
            <w:tcW w:w="3273" w:type="dxa"/>
            <w:tcBorders>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记载储蓄存款利息所得税完税情况的利息清单</w:t>
            </w:r>
          </w:p>
        </w:tc>
        <w:tc>
          <w:tcPr>
            <w:tcW w:w="709"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1</w:t>
            </w:r>
            <w:r>
              <w:rPr>
                <w:rFonts w:ascii="黑体" w:eastAsia="黑体" w:hAnsi="黑体" w:cs="Microsoft Himalaya" w:hint="eastAsia"/>
                <w:sz w:val="18"/>
                <w:szCs w:val="18"/>
              </w:rPr>
              <w:t>份</w:t>
            </w:r>
          </w:p>
        </w:tc>
        <w:tc>
          <w:tcPr>
            <w:tcW w:w="1709" w:type="dxa"/>
            <w:tcBorders>
              <w:top w:val="single" w:sz="4" w:space="0" w:color="auto"/>
              <w:left w:val="single" w:sz="4" w:space="0" w:color="auto"/>
              <w:bottom w:val="single" w:sz="4" w:space="0" w:color="auto"/>
              <w:right w:val="single" w:sz="4" w:space="0" w:color="auto"/>
            </w:tcBorders>
            <w:vAlign w:val="center"/>
          </w:tcPr>
          <w:p w:rsidR="00AE78BC" w:rsidRDefault="00AE78BC">
            <w:pPr>
              <w:wordWrap w:val="0"/>
              <w:jc w:val="center"/>
              <w:rPr>
                <w:rFonts w:ascii="黑体" w:eastAsia="黑体" w:hAnsi="黑体" w:cs="Microsoft Himalaya"/>
                <w:sz w:val="18"/>
                <w:szCs w:val="18"/>
              </w:rPr>
            </w:pPr>
          </w:p>
        </w:tc>
      </w:tr>
    </w:tbl>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【办理地点】</w:t>
      </w:r>
    </w:p>
    <w:p w:rsidR="00AE78BC" w:rsidRDefault="00071150">
      <w:pPr>
        <w:pStyle w:val="aff1"/>
        <w:widowControl/>
        <w:wordWrap w:val="0"/>
        <w:adjustRightInd/>
        <w:snapToGrid/>
        <w:rPr>
          <w:rFonts w:ascii="宋体" w:eastAsia="宋体" w:hAnsi="宋体" w:cs="宋体"/>
          <w:bCs w:val="0"/>
        </w:rPr>
      </w:pPr>
      <w:r>
        <w:rPr>
          <w:rFonts w:ascii="宋体" w:eastAsia="宋体" w:hAnsi="宋体" w:hint="eastAsia"/>
        </w:rPr>
        <w:t>1</w:t>
      </w:r>
      <w:r>
        <w:rPr>
          <w:rFonts w:ascii="Times New Roman" w:eastAsia="宋体" w:hAnsi="Times New Roman" w:hint="eastAsia"/>
        </w:rPr>
        <w:t>.</w:t>
      </w:r>
      <w:r>
        <w:rPr>
          <w:rFonts w:ascii="宋体" w:eastAsia="宋体" w:hAnsi="宋体" w:cs="宋体" w:hint="eastAsia"/>
          <w:bCs w:val="0"/>
        </w:rPr>
        <w:t>可通过办税服务厅（场所）、新疆维吾尔自治区电子税务局</w:t>
      </w:r>
      <w:r>
        <w:rPr>
          <w:rFonts w:ascii="宋体" w:eastAsia="宋体" w:hAnsi="宋体" w:hint="eastAsia"/>
        </w:rPr>
        <w:t>、自助办税终端</w:t>
      </w:r>
      <w:r>
        <w:rPr>
          <w:rFonts w:ascii="宋体" w:eastAsia="宋体" w:hAnsi="宋体" w:cs="宋体" w:hint="eastAsia"/>
          <w:bCs w:val="0"/>
        </w:rPr>
        <w:t>办理，办税服务厅具体地点可点击下列链接通过办税地图获取：</w:t>
      </w:r>
    </w:p>
    <w:p w:rsidR="00AE78BC" w:rsidRDefault="00071150">
      <w:pPr>
        <w:pStyle w:val="aff1"/>
        <w:widowControl/>
        <w:wordWrap w:val="0"/>
        <w:adjustRightInd/>
        <w:snapToGrid/>
        <w:rPr>
          <w:rFonts w:ascii="宋体" w:eastAsia="宋体" w:hAnsi="宋体" w:cs="宋体"/>
          <w:bCs w:val="0"/>
        </w:rPr>
      </w:pPr>
      <w:hyperlink r:id="rId9" w:anchor="/bsdt?code=bsdt&amp;id=9916" w:history="1">
        <w:r>
          <w:rPr>
            <w:rStyle w:val="af2"/>
            <w:rFonts w:ascii="宋体" w:eastAsia="宋体" w:hAnsi="宋体" w:cs="宋体" w:hint="eastAsia"/>
            <w:bCs w:val="0"/>
          </w:rPr>
          <w:t>https://etax.xinjiang.chinatax.gov.cn/yhs-web/cxzx/bmap.html#/bsdt?code=bsdt&amp;id=9916</w:t>
        </w:r>
      </w:hyperlink>
    </w:p>
    <w:p w:rsidR="00AE78BC" w:rsidRDefault="00071150">
      <w:pPr>
        <w:pStyle w:val="aff1"/>
        <w:widowControl/>
        <w:wordWrap w:val="0"/>
        <w:adjustRightInd/>
        <w:snapToGrid/>
        <w:rPr>
          <w:rFonts w:ascii="宋体" w:eastAsia="宋体" w:hAnsi="宋体" w:cs="宋体"/>
          <w:bCs w:val="0"/>
        </w:rPr>
      </w:pPr>
      <w:r>
        <w:rPr>
          <w:rFonts w:ascii="宋体" w:eastAsia="宋体" w:hAnsi="宋体" w:cs="宋体" w:hint="eastAsia"/>
          <w:bCs w:val="0"/>
        </w:rPr>
        <w:t>新疆维吾尔自治区电子税务局网址为：</w:t>
      </w:r>
    </w:p>
    <w:p w:rsidR="00AE78BC" w:rsidRDefault="005C3839">
      <w:pPr>
        <w:wordWrap w:val="0"/>
        <w:spacing w:line="360" w:lineRule="auto"/>
        <w:ind w:firstLineChars="200" w:firstLine="480"/>
        <w:rPr>
          <w:rFonts w:ascii="宋体" w:eastAsia="宋体" w:hAnsi="宋体"/>
          <w:sz w:val="24"/>
          <w:szCs w:val="24"/>
        </w:rPr>
      </w:pPr>
      <w:bookmarkStart w:id="18" w:name="_GoBack"/>
      <w:r>
        <w:rPr>
          <w:rStyle w:val="af2"/>
          <w:rFonts w:ascii="宋体" w:eastAsia="宋体" w:hAnsi="宋体" w:cs="宋体" w:hint="eastAsia"/>
          <w:sz w:val="24"/>
          <w:szCs w:val="24"/>
        </w:rPr>
        <w:t>https://etax.xinjiang.chinatax.gov.cn</w:t>
      </w:r>
      <w:bookmarkEnd w:id="18"/>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sz w:val="24"/>
          <w:szCs w:val="24"/>
        </w:rPr>
        <w:t>2</w:t>
      </w:r>
      <w:r>
        <w:rPr>
          <w:rFonts w:ascii="Times New Roman" w:eastAsia="宋体" w:hAnsi="Times New Roman" w:hint="eastAsia"/>
          <w:sz w:val="24"/>
          <w:szCs w:val="24"/>
        </w:rPr>
        <w:t>.</w:t>
      </w:r>
      <w:r>
        <w:rPr>
          <w:rFonts w:ascii="宋体" w:eastAsia="宋体" w:hAnsi="宋体" w:hint="eastAsia"/>
          <w:sz w:val="24"/>
          <w:szCs w:val="24"/>
        </w:rPr>
        <w:t>此事项可在全国、同城通办。</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【办理机构】</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【收费标准】</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不收费</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【办理时间】</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【联系电话】</w:t>
      </w:r>
    </w:p>
    <w:p w:rsidR="00AE78BC" w:rsidRDefault="00071150">
      <w:pPr>
        <w:ind w:firstLineChars="200" w:firstLine="480"/>
        <w:rPr>
          <w:rFonts w:ascii="宋体" w:eastAsia="宋体" w:hAnsi="宋体" w:cs="宋体"/>
          <w:sz w:val="24"/>
          <w:szCs w:val="24"/>
        </w:rPr>
      </w:pPr>
      <w:bookmarkStart w:id="19" w:name="_Hlk15894389"/>
      <w:r>
        <w:rPr>
          <w:rFonts w:ascii="宋体" w:eastAsia="宋体" w:hAnsi="宋体" w:cs="宋体" w:hint="eastAsia"/>
          <w:sz w:val="24"/>
          <w:szCs w:val="24"/>
        </w:rPr>
        <w:t>主管税务机关对外公开的联系电话，</w:t>
      </w:r>
      <w:bookmarkEnd w:id="19"/>
      <w:r>
        <w:rPr>
          <w:rFonts w:ascii="宋体" w:eastAsia="宋体" w:hAnsi="宋体" w:cs="宋体" w:hint="eastAsia"/>
          <w:sz w:val="24"/>
          <w:szCs w:val="24"/>
        </w:rPr>
        <w:t>可点击下列链接通过办税地图获取：</w:t>
      </w:r>
    </w:p>
    <w:p w:rsidR="00AE78BC" w:rsidRDefault="00071150">
      <w:pPr>
        <w:wordWrap w:val="0"/>
        <w:spacing w:line="360" w:lineRule="auto"/>
        <w:ind w:firstLineChars="200" w:firstLine="420"/>
        <w:rPr>
          <w:rFonts w:ascii="宋体" w:eastAsia="宋体" w:hAnsi="宋体"/>
          <w:sz w:val="24"/>
          <w:szCs w:val="24"/>
        </w:rPr>
      </w:pPr>
      <w:hyperlink r:id="rId10" w:anchor="/bsdt?code=bsdt&amp;id=9916" w:history="1">
        <w:r>
          <w:rPr>
            <w:rStyle w:val="af2"/>
            <w:rFonts w:ascii="宋体" w:eastAsia="宋体" w:hAnsi="宋体" w:cs="宋体" w:hint="eastAsia"/>
            <w:sz w:val="24"/>
            <w:szCs w:val="24"/>
          </w:rPr>
          <w:t>https://etax.xinjiang.chinatax.gov.cn/yhs-web/cxzx/bmap.html#/bsdt?code=bsdt&amp;id=9916</w:t>
        </w:r>
      </w:hyperlink>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【办理流程】</w:t>
      </w:r>
    </w:p>
    <w:p w:rsidR="00AE78BC" w:rsidRDefault="00071150">
      <w:pPr>
        <w:pStyle w:val="af9"/>
        <w:wordWrap w:val="0"/>
        <w:snapToGrid/>
        <w:spacing w:line="276" w:lineRule="auto"/>
        <w:ind w:firstLineChars="0" w:firstLine="0"/>
        <w:rPr>
          <w:rFonts w:ascii="仿宋" w:eastAsia="仿宋" w:hAnsi="仿宋" w:cs="仿宋"/>
          <w:sz w:val="24"/>
          <w:szCs w:val="24"/>
        </w:rPr>
      </w:pPr>
      <w:r>
        <w:rPr>
          <w:rFonts w:ascii="仿宋" w:eastAsia="仿宋" w:hAnsi="仿宋" w:cs="仿宋" w:hint="eastAsia"/>
          <w:noProof/>
          <w:sz w:val="24"/>
          <w:szCs w:val="24"/>
        </w:rPr>
        <w:drawing>
          <wp:inline distT="0" distB="0" distL="114300" distR="114300">
            <wp:extent cx="5268595" cy="1781175"/>
            <wp:effectExtent l="0" t="0" r="4445" b="0"/>
            <wp:docPr id="2" name="图片 2"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纳税人流程图(即办）"/>
                    <pic:cNvPicPr>
                      <a:picLocks noChangeAspect="1"/>
                    </pic:cNvPicPr>
                  </pic:nvPicPr>
                  <pic:blipFill>
                    <a:blip r:embed="rId11"/>
                    <a:stretch>
                      <a:fillRect/>
                    </a:stretch>
                  </pic:blipFill>
                  <pic:spPr>
                    <a:xfrm>
                      <a:off x="0" y="0"/>
                      <a:ext cx="5268595" cy="1781175"/>
                    </a:xfrm>
                    <a:prstGeom prst="rect">
                      <a:avLst/>
                    </a:prstGeom>
                  </pic:spPr>
                </pic:pic>
              </a:graphicData>
            </a:graphic>
          </wp:inline>
        </w:drawing>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【纳税人注意事项】</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Times New Roman" w:eastAsia="宋体" w:hAnsi="Times New Roman" w:hint="eastAsia"/>
          <w:sz w:val="24"/>
          <w:szCs w:val="24"/>
        </w:rPr>
        <w:t>.</w:t>
      </w:r>
      <w:r>
        <w:rPr>
          <w:rFonts w:ascii="宋体" w:eastAsia="宋体" w:hAnsi="宋体" w:hint="eastAsia"/>
          <w:sz w:val="24"/>
          <w:szCs w:val="24"/>
        </w:rPr>
        <w:t>纳税人对报送材料的真实性和合法性承担责任。</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Times New Roman" w:eastAsia="宋体" w:hAnsi="Times New Roman" w:hint="eastAsia"/>
          <w:sz w:val="24"/>
          <w:szCs w:val="24"/>
        </w:rPr>
        <w:t>.</w:t>
      </w:r>
      <w:r>
        <w:rPr>
          <w:rFonts w:ascii="宋体" w:eastAsia="宋体" w:hAnsi="宋体" w:hint="eastAsia"/>
          <w:sz w:val="24"/>
          <w:szCs w:val="24"/>
        </w:rPr>
        <w:t>税务机关提供“最多跑一次”服务。纳税人在资料完整且符合法定受理条件的前提下，最多只需要到税务机关跑一次。</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纳税人使用符合电子签名法规定条件的电子签名，与手写签名或者盖章具有同等法律效力。</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纳税人提供的各项资料为复印件的，均须注明“与原件一致”并签章。</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sz w:val="24"/>
          <w:szCs w:val="24"/>
        </w:rPr>
        <w:t>税收完税证明分为表格式和文书式两种。按照【申请条件】中第</w:t>
      </w:r>
      <w:r>
        <w:rPr>
          <w:rFonts w:ascii="宋体" w:eastAsia="宋体" w:hAnsi="宋体" w:hint="eastAsia"/>
          <w:sz w:val="24"/>
          <w:szCs w:val="24"/>
        </w:rPr>
        <w:t>1</w:t>
      </w:r>
      <w:r>
        <w:rPr>
          <w:rFonts w:ascii="宋体" w:eastAsia="宋体" w:hAnsi="宋体" w:hint="eastAsia"/>
          <w:sz w:val="24"/>
          <w:szCs w:val="24"/>
        </w:rPr>
        <w:t>项、第</w:t>
      </w:r>
      <w:r>
        <w:rPr>
          <w:rFonts w:ascii="宋体" w:eastAsia="宋体" w:hAnsi="宋体" w:hint="eastAsia"/>
          <w:sz w:val="24"/>
          <w:szCs w:val="24"/>
        </w:rPr>
        <w:t>2</w:t>
      </w:r>
      <w:r>
        <w:rPr>
          <w:rFonts w:ascii="宋体" w:eastAsia="宋体" w:hAnsi="宋体" w:hint="eastAsia"/>
          <w:sz w:val="24"/>
          <w:szCs w:val="24"/>
        </w:rPr>
        <w:t>项、第</w:t>
      </w:r>
      <w:r>
        <w:rPr>
          <w:rFonts w:ascii="宋体" w:eastAsia="宋体" w:hAnsi="宋体" w:hint="eastAsia"/>
          <w:sz w:val="24"/>
          <w:szCs w:val="24"/>
        </w:rPr>
        <w:t>3</w:t>
      </w:r>
      <w:r>
        <w:rPr>
          <w:rFonts w:ascii="宋体" w:eastAsia="宋体" w:hAnsi="宋体" w:hint="eastAsia"/>
          <w:sz w:val="24"/>
          <w:szCs w:val="24"/>
        </w:rPr>
        <w:t>项以及</w:t>
      </w:r>
      <w:r>
        <w:rPr>
          <w:rFonts w:ascii="宋体" w:eastAsia="宋体" w:hAnsi="宋体" w:hint="eastAsia"/>
          <w:sz w:val="24"/>
          <w:szCs w:val="24"/>
        </w:rPr>
        <w:t>第</w:t>
      </w:r>
      <w:r>
        <w:rPr>
          <w:rFonts w:ascii="宋体" w:eastAsia="宋体" w:hAnsi="宋体" w:hint="eastAsia"/>
          <w:sz w:val="24"/>
          <w:szCs w:val="24"/>
        </w:rPr>
        <w:t>5</w:t>
      </w:r>
      <w:r>
        <w:rPr>
          <w:rFonts w:ascii="宋体" w:eastAsia="宋体" w:hAnsi="宋体" w:hint="eastAsia"/>
          <w:sz w:val="24"/>
          <w:szCs w:val="24"/>
        </w:rPr>
        <w:t>项</w:t>
      </w:r>
      <w:r>
        <w:rPr>
          <w:rFonts w:ascii="宋体" w:eastAsia="宋体" w:hAnsi="宋体" w:hint="eastAsia"/>
          <w:sz w:val="24"/>
          <w:szCs w:val="24"/>
        </w:rPr>
        <w:t>开具的税收完税证明为表格式；按照第</w:t>
      </w:r>
      <w:r>
        <w:rPr>
          <w:rFonts w:ascii="宋体" w:eastAsia="宋体" w:hAnsi="宋体" w:hint="eastAsia"/>
          <w:sz w:val="24"/>
          <w:szCs w:val="24"/>
        </w:rPr>
        <w:t>4</w:t>
      </w:r>
      <w:r>
        <w:rPr>
          <w:rFonts w:ascii="宋体" w:eastAsia="宋体" w:hAnsi="宋体" w:hint="eastAsia"/>
          <w:sz w:val="24"/>
          <w:szCs w:val="24"/>
        </w:rPr>
        <w:t>项规定开具的税收完税证明为文书式，文书式税收完税证明不得作为纳税人的记账或抵扣凭证。</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【申请条件】中第</w:t>
      </w:r>
      <w:r>
        <w:rPr>
          <w:rFonts w:ascii="宋体" w:eastAsia="宋体" w:hAnsi="宋体" w:hint="eastAsia"/>
          <w:sz w:val="24"/>
          <w:szCs w:val="24"/>
        </w:rPr>
        <w:t>2</w:t>
      </w:r>
      <w:r>
        <w:rPr>
          <w:rFonts w:ascii="宋体" w:eastAsia="宋体" w:hAnsi="宋体" w:hint="eastAsia"/>
          <w:sz w:val="24"/>
          <w:szCs w:val="24"/>
        </w:rPr>
        <w:t>项所称扣缴义务人已</w:t>
      </w:r>
      <w:r>
        <w:rPr>
          <w:rFonts w:ascii="宋体" w:eastAsia="宋体" w:hAnsi="宋体" w:hint="eastAsia"/>
          <w:sz w:val="24"/>
          <w:szCs w:val="24"/>
        </w:rPr>
        <w:t>经向纳税人开具的税法规定</w:t>
      </w:r>
      <w:r>
        <w:rPr>
          <w:rFonts w:ascii="宋体" w:eastAsia="宋体" w:hAnsi="宋体" w:hint="eastAsia"/>
          <w:sz w:val="24"/>
          <w:szCs w:val="24"/>
        </w:rPr>
        <w:t>和第</w:t>
      </w:r>
      <w:r>
        <w:rPr>
          <w:rFonts w:ascii="宋体" w:eastAsia="宋体" w:hAnsi="宋体" w:hint="eastAsia"/>
          <w:sz w:val="24"/>
          <w:szCs w:val="24"/>
        </w:rPr>
        <w:t>5</w:t>
      </w:r>
      <w:r>
        <w:rPr>
          <w:rFonts w:ascii="宋体" w:eastAsia="宋体" w:hAnsi="宋体" w:hint="eastAsia"/>
          <w:sz w:val="24"/>
          <w:szCs w:val="24"/>
        </w:rPr>
        <w:t>项</w:t>
      </w:r>
      <w:r>
        <w:rPr>
          <w:rFonts w:ascii="宋体" w:eastAsia="宋体" w:hAnsi="宋体" w:hint="eastAsia"/>
          <w:sz w:val="24"/>
          <w:szCs w:val="24"/>
        </w:rPr>
        <w:t>国家税务总局认可的记载完税情况的其他凭证，是指记载车船税完税情况的交强险保单、记载储蓄存款利息所得税完税情况的利息清单等税法或国家</w:t>
      </w:r>
      <w:r>
        <w:rPr>
          <w:rFonts w:ascii="宋体" w:eastAsia="宋体" w:hAnsi="宋体" w:hint="eastAsia"/>
          <w:sz w:val="24"/>
          <w:szCs w:val="24"/>
        </w:rPr>
        <w:lastRenderedPageBreak/>
        <w:t>税务总局认可的能够作为已完税情况证明的凭证；第</w:t>
      </w:r>
      <w:r>
        <w:rPr>
          <w:rFonts w:ascii="宋体" w:eastAsia="宋体" w:hAnsi="宋体" w:hint="eastAsia"/>
          <w:sz w:val="24"/>
          <w:szCs w:val="24"/>
        </w:rPr>
        <w:t>4</w:t>
      </w:r>
      <w:r>
        <w:rPr>
          <w:rFonts w:ascii="宋体" w:eastAsia="宋体" w:hAnsi="宋体" w:hint="eastAsia"/>
          <w:sz w:val="24"/>
          <w:szCs w:val="24"/>
        </w:rPr>
        <w:t>项所称“对纳税人特定期间完税情况出具证明”，是指税务机关为纳税人连续期间的纳税情况汇总开具完税证明的情形。</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7</w:t>
      </w:r>
      <w:r>
        <w:rPr>
          <w:rFonts w:ascii="Times New Roman" w:eastAsia="宋体" w:hAnsi="Times New Roman" w:hint="eastAsia"/>
          <w:sz w:val="24"/>
          <w:szCs w:val="24"/>
        </w:rPr>
        <w:t>.</w:t>
      </w:r>
      <w:r>
        <w:rPr>
          <w:rFonts w:ascii="宋体" w:eastAsia="宋体" w:hAnsi="宋体" w:hint="eastAsia"/>
          <w:sz w:val="24"/>
          <w:szCs w:val="24"/>
        </w:rPr>
        <w:t>个人所得税纳税人就税款所属期为</w:t>
      </w:r>
      <w:r>
        <w:rPr>
          <w:rFonts w:ascii="宋体" w:eastAsia="宋体" w:hAnsi="宋体" w:hint="eastAsia"/>
          <w:sz w:val="24"/>
          <w:szCs w:val="24"/>
        </w:rPr>
        <w:t>2019</w:t>
      </w:r>
      <w:r>
        <w:rPr>
          <w:rFonts w:ascii="宋体" w:eastAsia="宋体" w:hAnsi="宋体" w:hint="eastAsia"/>
          <w:sz w:val="24"/>
          <w:szCs w:val="24"/>
        </w:rPr>
        <w:t>年</w:t>
      </w:r>
      <w:r>
        <w:rPr>
          <w:rFonts w:ascii="宋体" w:eastAsia="宋体" w:hAnsi="宋体" w:hint="eastAsia"/>
          <w:sz w:val="24"/>
          <w:szCs w:val="24"/>
        </w:rPr>
        <w:t>1</w:t>
      </w:r>
      <w:r>
        <w:rPr>
          <w:rFonts w:ascii="宋体" w:eastAsia="宋体" w:hAnsi="宋体" w:hint="eastAsia"/>
          <w:sz w:val="24"/>
          <w:szCs w:val="24"/>
        </w:rPr>
        <w:t>月</w:t>
      </w:r>
      <w:r>
        <w:rPr>
          <w:rFonts w:ascii="宋体" w:eastAsia="宋体" w:hAnsi="宋体" w:hint="eastAsia"/>
          <w:sz w:val="24"/>
          <w:szCs w:val="24"/>
        </w:rPr>
        <w:t>1</w:t>
      </w:r>
      <w:r>
        <w:rPr>
          <w:rFonts w:ascii="宋体" w:eastAsia="宋体" w:hAnsi="宋体" w:hint="eastAsia"/>
          <w:sz w:val="24"/>
          <w:szCs w:val="24"/>
        </w:rPr>
        <w:t>日（含）以后缴（退）税情况申请开具证明的，税务机关为其开具个人所得税《纳税记录》，不再开具税收完税证明（文书式）。</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8</w:t>
      </w:r>
      <w:r>
        <w:rPr>
          <w:rFonts w:ascii="Times New Roman" w:eastAsia="宋体" w:hAnsi="Times New Roman" w:hint="eastAsia"/>
          <w:sz w:val="24"/>
          <w:szCs w:val="24"/>
        </w:rPr>
        <w:t>.</w:t>
      </w:r>
      <w:r>
        <w:rPr>
          <w:rFonts w:ascii="宋体" w:eastAsia="宋体" w:hAnsi="宋体" w:hint="eastAsia"/>
          <w:sz w:val="24"/>
          <w:szCs w:val="24"/>
        </w:rPr>
        <w:t>纳税人遗失《出口货物完税</w:t>
      </w:r>
      <w:r>
        <w:rPr>
          <w:rFonts w:ascii="宋体" w:eastAsia="宋体" w:hAnsi="宋体" w:hint="eastAsia"/>
          <w:sz w:val="24"/>
          <w:szCs w:val="24"/>
        </w:rPr>
        <w:t>分割单》、印花税票和《印花税票销售凭证》，不能重新开具。</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9</w:t>
      </w:r>
      <w:r>
        <w:rPr>
          <w:rFonts w:ascii="Times New Roman" w:eastAsia="宋体" w:hAnsi="Times New Roman" w:hint="eastAsia"/>
          <w:sz w:val="24"/>
          <w:szCs w:val="24"/>
        </w:rPr>
        <w:t>.</w:t>
      </w:r>
      <w:r>
        <w:rPr>
          <w:rFonts w:ascii="宋体" w:eastAsia="宋体" w:hAnsi="宋体" w:hint="eastAsia"/>
          <w:sz w:val="24"/>
          <w:szCs w:val="24"/>
        </w:rPr>
        <w:t>扣缴义务人未按规定为纳税人开具税收票证的，税务机关核实税款缴纳情况后，应当为纳税人开具税收完税证明（表格式）。</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10</w:t>
      </w:r>
      <w:r>
        <w:rPr>
          <w:rFonts w:ascii="Times New Roman" w:eastAsia="宋体" w:hAnsi="Times New Roman" w:hint="eastAsia"/>
          <w:sz w:val="24"/>
          <w:szCs w:val="24"/>
        </w:rPr>
        <w:t>.</w:t>
      </w:r>
      <w:r>
        <w:rPr>
          <w:rFonts w:ascii="宋体" w:eastAsia="宋体" w:hAnsi="宋体" w:hint="eastAsia"/>
          <w:sz w:val="24"/>
          <w:szCs w:val="24"/>
        </w:rPr>
        <w:t>纳税人提供加盖开具单位的相关业务章戳并已注明扣收税款信息的“成交过户交割凭单”或“过户登记确认书”，可以向证券交易场所和证券登记结算机构所在地的主管税务机关申请出具</w:t>
      </w:r>
      <w:r>
        <w:rPr>
          <w:rFonts w:ascii="宋体" w:eastAsia="宋体" w:hAnsi="宋体" w:hint="eastAsia"/>
          <w:sz w:val="24"/>
          <w:szCs w:val="24"/>
        </w:rPr>
        <w:t>《</w:t>
      </w:r>
      <w:r>
        <w:rPr>
          <w:rFonts w:ascii="宋体" w:eastAsia="宋体" w:hAnsi="宋体" w:hint="eastAsia"/>
          <w:sz w:val="24"/>
          <w:szCs w:val="24"/>
        </w:rPr>
        <w:t>税收完税证明</w:t>
      </w:r>
      <w:r>
        <w:rPr>
          <w:rFonts w:ascii="宋体" w:eastAsia="宋体" w:hAnsi="宋体" w:hint="eastAsia"/>
          <w:sz w:val="24"/>
          <w:szCs w:val="24"/>
        </w:rPr>
        <w:t>》</w:t>
      </w:r>
      <w:r>
        <w:rPr>
          <w:rFonts w:ascii="宋体" w:eastAsia="宋体" w:hAnsi="宋体" w:hint="eastAsia"/>
          <w:sz w:val="24"/>
          <w:szCs w:val="24"/>
        </w:rPr>
        <w:t>。</w:t>
      </w:r>
    </w:p>
    <w:p w:rsidR="00AE78BC" w:rsidRDefault="00071150">
      <w:pPr>
        <w:wordWrap w:val="0"/>
        <w:rPr>
          <w:rFonts w:ascii="Times New Roman" w:eastAsia="黑体" w:hAnsi="Times New Roman" w:cs="Times New Roman"/>
          <w:b/>
          <w:bCs/>
          <w:kern w:val="24"/>
          <w:sz w:val="28"/>
          <w:szCs w:val="28"/>
        </w:rPr>
      </w:pPr>
      <w:r>
        <w:rPr>
          <w:rFonts w:ascii="Times New Roman" w:eastAsia="黑体" w:hAnsi="Times New Roman" w:cs="Times New Roman" w:hint="eastAsia"/>
          <w:b/>
          <w:bCs/>
          <w:kern w:val="24"/>
          <w:sz w:val="28"/>
          <w:szCs w:val="28"/>
        </w:rPr>
        <w:br w:type="page"/>
      </w:r>
    </w:p>
    <w:p w:rsidR="00AE78BC" w:rsidRDefault="00071150">
      <w:pPr>
        <w:wordWrap w:val="0"/>
        <w:spacing w:beforeLines="300" w:before="996" w:afterLines="100" w:after="332"/>
        <w:ind w:firstLine="510"/>
        <w:outlineLvl w:val="2"/>
        <w:rPr>
          <w:rFonts w:ascii="Times New Roman" w:eastAsia="黑体" w:hAnsi="Times New Roman" w:cs="Times New Roman"/>
          <w:b/>
          <w:bCs/>
          <w:kern w:val="24"/>
          <w:sz w:val="28"/>
          <w:szCs w:val="28"/>
        </w:rPr>
      </w:pPr>
      <w:r>
        <w:rPr>
          <w:rFonts w:ascii="Times New Roman" w:eastAsia="黑体" w:hAnsi="Times New Roman" w:cs="Times New Roman" w:hint="eastAsia"/>
          <w:b/>
          <w:bCs/>
          <w:kern w:val="24"/>
          <w:sz w:val="28"/>
          <w:szCs w:val="28"/>
        </w:rPr>
        <w:lastRenderedPageBreak/>
        <w:t>5</w:t>
      </w:r>
      <w:r>
        <w:rPr>
          <w:rFonts w:ascii="Times New Roman" w:eastAsia="黑体" w:hAnsi="Times New Roman" w:cs="Times New Roman" w:hint="eastAsia"/>
          <w:b/>
          <w:bCs/>
          <w:kern w:val="24"/>
          <w:sz w:val="28"/>
          <w:szCs w:val="28"/>
        </w:rPr>
        <w:t>.</w:t>
      </w:r>
      <w:r>
        <w:rPr>
          <w:rFonts w:ascii="Times New Roman" w:eastAsia="黑体" w:hAnsi="Times New Roman" w:cs="Times New Roman"/>
          <w:b/>
          <w:bCs/>
          <w:kern w:val="24"/>
          <w:sz w:val="28"/>
          <w:szCs w:val="28"/>
        </w:rPr>
        <w:t>1</w:t>
      </w:r>
      <w:r>
        <w:rPr>
          <w:rFonts w:ascii="Times New Roman" w:eastAsia="黑体" w:hAnsi="Times New Roman" w:cs="Times New Roman" w:hint="eastAsia"/>
          <w:b/>
          <w:bCs/>
          <w:kern w:val="24"/>
          <w:sz w:val="28"/>
          <w:szCs w:val="28"/>
        </w:rPr>
        <w:t>.</w:t>
      </w:r>
      <w:r>
        <w:rPr>
          <w:rFonts w:ascii="Times New Roman" w:eastAsia="黑体" w:hAnsi="Times New Roman" w:cs="Times New Roman"/>
          <w:b/>
          <w:bCs/>
          <w:kern w:val="24"/>
          <w:sz w:val="28"/>
          <w:szCs w:val="28"/>
        </w:rPr>
        <w:t>2—</w:t>
      </w:r>
      <w:r>
        <w:rPr>
          <w:rFonts w:ascii="Times New Roman" w:eastAsia="黑体" w:hAnsi="Times New Roman" w:cs="Times New Roman" w:hint="eastAsia"/>
          <w:b/>
          <w:bCs/>
          <w:kern w:val="24"/>
          <w:sz w:val="28"/>
          <w:szCs w:val="28"/>
        </w:rPr>
        <w:t>1</w:t>
      </w:r>
      <w:r>
        <w:rPr>
          <w:rFonts w:ascii="Times New Roman" w:eastAsia="黑体" w:hAnsi="Times New Roman" w:cs="Times New Roman" w:hint="eastAsia"/>
          <w:b/>
          <w:bCs/>
          <w:kern w:val="24"/>
          <w:sz w:val="28"/>
          <w:szCs w:val="28"/>
        </w:rPr>
        <w:t>30</w:t>
      </w:r>
      <w:r>
        <w:rPr>
          <w:rFonts w:ascii="Times New Roman" w:eastAsia="黑体" w:hAnsi="Times New Roman" w:cs="Times New Roman" w:hint="eastAsia"/>
          <w:b/>
          <w:bCs/>
          <w:kern w:val="24"/>
          <w:sz w:val="28"/>
          <w:szCs w:val="28"/>
        </w:rPr>
        <w:t xml:space="preserve">　开具个人所得税纳税记录</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【事项名称】</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开具个人所得税纳税记录</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【申请条件】</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纳税人</w:t>
      </w:r>
      <w:r>
        <w:rPr>
          <w:rFonts w:ascii="宋体" w:eastAsia="宋体" w:hAnsi="宋体" w:hint="eastAsia"/>
          <w:sz w:val="24"/>
          <w:szCs w:val="24"/>
        </w:rPr>
        <w:t>2019</w:t>
      </w:r>
      <w:r>
        <w:rPr>
          <w:rFonts w:ascii="宋体" w:eastAsia="宋体" w:hAnsi="宋体" w:hint="eastAsia"/>
          <w:sz w:val="24"/>
          <w:szCs w:val="24"/>
        </w:rPr>
        <w:t>年</w:t>
      </w:r>
      <w:r>
        <w:rPr>
          <w:rFonts w:ascii="宋体" w:eastAsia="宋体" w:hAnsi="宋体" w:hint="eastAsia"/>
          <w:sz w:val="24"/>
          <w:szCs w:val="24"/>
        </w:rPr>
        <w:t>1</w:t>
      </w:r>
      <w:r>
        <w:rPr>
          <w:rFonts w:ascii="宋体" w:eastAsia="宋体" w:hAnsi="宋体" w:hint="eastAsia"/>
          <w:sz w:val="24"/>
          <w:szCs w:val="24"/>
        </w:rPr>
        <w:t>月</w:t>
      </w:r>
      <w:r>
        <w:rPr>
          <w:rFonts w:ascii="宋体" w:eastAsia="宋体" w:hAnsi="宋体" w:hint="eastAsia"/>
          <w:sz w:val="24"/>
          <w:szCs w:val="24"/>
        </w:rPr>
        <w:t>1</w:t>
      </w:r>
      <w:r>
        <w:rPr>
          <w:rFonts w:ascii="宋体" w:eastAsia="宋体" w:hAnsi="宋体" w:hint="eastAsia"/>
          <w:sz w:val="24"/>
          <w:szCs w:val="24"/>
        </w:rPr>
        <w:t>日以后取得个人所得税应税所得并由扣缴义务人向税务机关办理了全员全额扣缴申报，或根据税法规定自行向税务机关办理纳税申报的，不论是否实际缴纳税款，均可以申请开具个人所得税《纳税记录》。</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【设定依据】</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《国家税务总局关于将个人所得税〈税收完税证明〉（文书式）调整为〈纳税记录〉有关事项的公告》（国家税务总局公告</w:t>
      </w:r>
      <w:r>
        <w:rPr>
          <w:rFonts w:ascii="宋体" w:eastAsia="宋体" w:hAnsi="宋体" w:hint="eastAsia"/>
          <w:sz w:val="24"/>
          <w:szCs w:val="24"/>
        </w:rPr>
        <w:t>2018</w:t>
      </w:r>
      <w:r>
        <w:rPr>
          <w:rFonts w:ascii="宋体" w:eastAsia="宋体" w:hAnsi="宋体" w:hint="eastAsia"/>
          <w:sz w:val="24"/>
          <w:szCs w:val="24"/>
        </w:rPr>
        <w:t>年第</w:t>
      </w:r>
      <w:r>
        <w:rPr>
          <w:rFonts w:ascii="宋体" w:eastAsia="宋体" w:hAnsi="宋体" w:hint="eastAsia"/>
          <w:sz w:val="24"/>
          <w:szCs w:val="24"/>
        </w:rPr>
        <w:t>55</w:t>
      </w:r>
      <w:r>
        <w:rPr>
          <w:rFonts w:ascii="宋体" w:eastAsia="宋体" w:hAnsi="宋体" w:hint="eastAsia"/>
          <w:sz w:val="24"/>
          <w:szCs w:val="24"/>
        </w:rPr>
        <w:t>号）</w:t>
      </w:r>
      <w:r>
        <w:rPr>
          <w:rFonts w:ascii="宋体" w:eastAsia="宋体" w:hAnsi="宋体" w:hint="eastAsia"/>
          <w:sz w:val="24"/>
          <w:szCs w:val="24"/>
        </w:rPr>
        <w:t>第一条</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40"/>
        <w:gridCol w:w="2795"/>
        <w:gridCol w:w="680"/>
        <w:gridCol w:w="2269"/>
      </w:tblGrid>
      <w:tr w:rsidR="00AE78BC">
        <w:trPr>
          <w:trHeight w:hRule="exact" w:val="809"/>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序号</w:t>
            </w:r>
          </w:p>
        </w:tc>
        <w:tc>
          <w:tcPr>
            <w:tcW w:w="45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数量</w:t>
            </w:r>
          </w:p>
        </w:tc>
        <w:tc>
          <w:tcPr>
            <w:tcW w:w="2269"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备注</w:t>
            </w:r>
          </w:p>
        </w:tc>
      </w:tr>
      <w:tr w:rsidR="00AE78BC">
        <w:trPr>
          <w:trHeight w:hRule="exact" w:val="652"/>
          <w:jc w:val="center"/>
        </w:trPr>
        <w:tc>
          <w:tcPr>
            <w:tcW w:w="680"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eastAsia="黑体" w:cs="Times New Roman" w:hint="eastAsia"/>
                <w:sz w:val="18"/>
                <w:szCs w:val="18"/>
              </w:rPr>
              <w:t>1</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身份证件原件</w:t>
            </w:r>
          </w:p>
        </w:tc>
        <w:tc>
          <w:tcPr>
            <w:tcW w:w="680"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1</w:t>
            </w:r>
            <w:r>
              <w:rPr>
                <w:rFonts w:ascii="黑体" w:eastAsia="黑体" w:hAnsi="黑体" w:cs="Microsoft Himalaya" w:hint="eastAsia"/>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查验后退回</w:t>
            </w:r>
          </w:p>
        </w:tc>
      </w:tr>
      <w:tr w:rsidR="00AE78BC">
        <w:trPr>
          <w:trHeight w:hRule="exact" w:val="652"/>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Microsoft Himalaya"/>
                <w:szCs w:val="21"/>
                <w:lang w:val="zh-CN"/>
              </w:rPr>
            </w:pPr>
            <w:r>
              <w:rPr>
                <w:rFonts w:ascii="黑体" w:eastAsia="黑体" w:hAnsi="黑体" w:cs="Times New Roman" w:hint="eastAsia"/>
                <w:szCs w:val="21"/>
                <w:lang w:val="zh-CN"/>
              </w:rPr>
              <w:t>有以下情形的，还应提供相应材料</w:t>
            </w:r>
          </w:p>
        </w:tc>
      </w:tr>
      <w:tr w:rsidR="00AE78BC">
        <w:trPr>
          <w:trHeight w:hRule="exact" w:val="652"/>
          <w:jc w:val="center"/>
        </w:trPr>
        <w:tc>
          <w:tcPr>
            <w:tcW w:w="24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适用情形</w:t>
            </w:r>
          </w:p>
        </w:tc>
        <w:tc>
          <w:tcPr>
            <w:tcW w:w="2795"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数量</w:t>
            </w:r>
          </w:p>
        </w:tc>
        <w:tc>
          <w:tcPr>
            <w:tcW w:w="2269"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备注</w:t>
            </w:r>
          </w:p>
        </w:tc>
      </w:tr>
      <w:tr w:rsidR="00AE78BC">
        <w:trPr>
          <w:trHeight w:hRule="exact" w:val="652"/>
          <w:jc w:val="center"/>
        </w:trPr>
        <w:tc>
          <w:tcPr>
            <w:tcW w:w="2420" w:type="dxa"/>
            <w:gridSpan w:val="2"/>
            <w:vMerge w:val="restart"/>
            <w:tcBorders>
              <w:top w:val="single" w:sz="4" w:space="0" w:color="auto"/>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委托他人代为开具</w:t>
            </w:r>
          </w:p>
        </w:tc>
        <w:tc>
          <w:tcPr>
            <w:tcW w:w="2795"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受托人身份证件原件</w:t>
            </w:r>
          </w:p>
        </w:tc>
        <w:tc>
          <w:tcPr>
            <w:tcW w:w="680"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sz w:val="18"/>
                <w:szCs w:val="18"/>
              </w:rPr>
              <w:t>1</w:t>
            </w:r>
            <w:r>
              <w:rPr>
                <w:rFonts w:ascii="黑体" w:eastAsia="黑体" w:hAnsi="黑体" w:cs="Microsoft Himalaya"/>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查验后退回</w:t>
            </w:r>
          </w:p>
        </w:tc>
      </w:tr>
      <w:tr w:rsidR="00AE78BC">
        <w:trPr>
          <w:trHeight w:hRule="exact" w:val="652"/>
          <w:jc w:val="center"/>
        </w:trPr>
        <w:tc>
          <w:tcPr>
            <w:tcW w:w="2420" w:type="dxa"/>
            <w:gridSpan w:val="2"/>
            <w:vMerge/>
            <w:tcBorders>
              <w:left w:val="single" w:sz="4" w:space="0" w:color="auto"/>
              <w:bottom w:val="single" w:sz="4" w:space="0" w:color="auto"/>
              <w:right w:val="single" w:sz="4" w:space="0" w:color="auto"/>
            </w:tcBorders>
            <w:vAlign w:val="center"/>
          </w:tcPr>
          <w:p w:rsidR="00AE78BC" w:rsidRDefault="00AE78BC">
            <w:pPr>
              <w:wordWrap w:val="0"/>
              <w:jc w:val="center"/>
              <w:rPr>
                <w:rFonts w:ascii="黑体" w:eastAsia="黑体" w:hAnsi="黑体" w:cs="Microsoft Himalaya"/>
                <w:sz w:val="18"/>
                <w:szCs w:val="18"/>
              </w:rPr>
            </w:pPr>
          </w:p>
        </w:tc>
        <w:tc>
          <w:tcPr>
            <w:tcW w:w="2795"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委托人书面授权资料</w:t>
            </w:r>
          </w:p>
        </w:tc>
        <w:tc>
          <w:tcPr>
            <w:tcW w:w="680"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1</w:t>
            </w:r>
            <w:r>
              <w:rPr>
                <w:rFonts w:ascii="黑体" w:eastAsia="黑体" w:hAnsi="黑体" w:cs="Microsoft Himalaya" w:hint="eastAsia"/>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AE78BC" w:rsidRDefault="00AE78BC">
            <w:pPr>
              <w:wordWrap w:val="0"/>
              <w:jc w:val="center"/>
              <w:rPr>
                <w:rFonts w:ascii="黑体" w:eastAsia="黑体" w:hAnsi="黑体" w:cs="Microsoft Himalaya"/>
                <w:sz w:val="18"/>
                <w:szCs w:val="18"/>
              </w:rPr>
            </w:pPr>
          </w:p>
        </w:tc>
      </w:tr>
    </w:tbl>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【办理地点】</w:t>
      </w:r>
    </w:p>
    <w:p w:rsidR="00AE78BC" w:rsidRDefault="00071150">
      <w:pPr>
        <w:pStyle w:val="aff1"/>
        <w:widowControl/>
        <w:wordWrap w:val="0"/>
        <w:adjustRightInd/>
        <w:snapToGrid/>
        <w:rPr>
          <w:rFonts w:ascii="宋体" w:eastAsia="宋体" w:hAnsi="宋体" w:cs="宋体"/>
          <w:bCs w:val="0"/>
        </w:rPr>
      </w:pPr>
      <w:r>
        <w:rPr>
          <w:rFonts w:ascii="宋体" w:eastAsia="宋体" w:hAnsi="宋体" w:cs="宋体" w:hint="eastAsia"/>
          <w:bCs w:val="0"/>
        </w:rPr>
        <w:t>可通过办税服务厅（场所）、</w:t>
      </w:r>
      <w:r>
        <w:rPr>
          <w:rFonts w:ascii="宋体" w:eastAsia="宋体" w:hAnsi="宋体" w:hint="eastAsia"/>
        </w:rPr>
        <w:t>自然人税收管理系统（</w:t>
      </w:r>
      <w:r>
        <w:rPr>
          <w:rFonts w:ascii="宋体" w:eastAsia="宋体" w:hAnsi="宋体" w:hint="eastAsia"/>
        </w:rPr>
        <w:t>WEB</w:t>
      </w:r>
      <w:r>
        <w:rPr>
          <w:rFonts w:ascii="宋体" w:eastAsia="宋体" w:hAnsi="宋体" w:hint="eastAsia"/>
        </w:rPr>
        <w:t>端、</w:t>
      </w:r>
      <w:r>
        <w:rPr>
          <w:rFonts w:ascii="宋体" w:eastAsia="宋体" w:hAnsi="宋体" w:hint="eastAsia"/>
        </w:rPr>
        <w:t>APP</w:t>
      </w:r>
      <w:r>
        <w:rPr>
          <w:rFonts w:ascii="宋体" w:eastAsia="宋体" w:hAnsi="宋体" w:hint="eastAsia"/>
        </w:rPr>
        <w:t>端）、自助办税终端</w:t>
      </w:r>
      <w:r>
        <w:rPr>
          <w:rFonts w:ascii="宋体" w:eastAsia="宋体" w:hAnsi="宋体" w:cs="宋体" w:hint="eastAsia"/>
          <w:bCs w:val="0"/>
        </w:rPr>
        <w:t>办理，办税服务厅具体地点可点击下列链接通过办税地图获取：</w:t>
      </w:r>
    </w:p>
    <w:p w:rsidR="00AE78BC" w:rsidRDefault="00071150">
      <w:pPr>
        <w:pStyle w:val="aff1"/>
        <w:widowControl/>
        <w:wordWrap w:val="0"/>
        <w:adjustRightInd/>
        <w:snapToGrid/>
        <w:rPr>
          <w:rFonts w:ascii="宋体" w:eastAsia="宋体" w:hAnsi="宋体" w:cs="宋体"/>
          <w:bCs w:val="0"/>
        </w:rPr>
      </w:pPr>
      <w:hyperlink r:id="rId12" w:anchor="/bsdt?code=bsdt&amp;id=9916" w:history="1">
        <w:r>
          <w:rPr>
            <w:rStyle w:val="af2"/>
            <w:rFonts w:ascii="宋体" w:eastAsia="宋体" w:hAnsi="宋体" w:cs="宋体" w:hint="eastAsia"/>
            <w:bCs w:val="0"/>
          </w:rPr>
          <w:t>https://etax.xinjiang.chinatax.gov.cn/yhs-web/cxzx/bmap.html#/bsdt?code=bsdt&amp;id=9916</w:t>
        </w:r>
      </w:hyperlink>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【办理机构】</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【收费标准】</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不收费</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【办理时间】</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【联系电话】</w:t>
      </w:r>
    </w:p>
    <w:p w:rsidR="00AE78BC" w:rsidRDefault="00071150">
      <w:pPr>
        <w:ind w:firstLineChars="200" w:firstLine="480"/>
        <w:rPr>
          <w:rFonts w:ascii="宋体" w:eastAsia="宋体" w:hAnsi="宋体" w:cs="宋体"/>
          <w:sz w:val="24"/>
          <w:szCs w:val="24"/>
        </w:rPr>
      </w:pPr>
      <w:r>
        <w:rPr>
          <w:rFonts w:ascii="宋体" w:eastAsia="宋体" w:hAnsi="宋体" w:cs="宋体" w:hint="eastAsia"/>
          <w:sz w:val="24"/>
          <w:szCs w:val="24"/>
        </w:rPr>
        <w:t>主管税务机关对外公开的联系电话，可点击下列</w:t>
      </w:r>
      <w:r>
        <w:rPr>
          <w:rFonts w:ascii="宋体" w:eastAsia="宋体" w:hAnsi="宋体" w:cs="宋体" w:hint="eastAsia"/>
          <w:sz w:val="24"/>
          <w:szCs w:val="24"/>
        </w:rPr>
        <w:t>链接通过办税地图获取：</w:t>
      </w:r>
    </w:p>
    <w:p w:rsidR="00AE78BC" w:rsidRDefault="00071150">
      <w:pPr>
        <w:wordWrap w:val="0"/>
        <w:spacing w:line="360" w:lineRule="auto"/>
        <w:ind w:firstLineChars="200" w:firstLine="420"/>
        <w:rPr>
          <w:rFonts w:ascii="黑体" w:eastAsia="黑体" w:hAnsi="黑体" w:cs="Times New Roman"/>
          <w:bCs/>
          <w:sz w:val="24"/>
          <w:szCs w:val="24"/>
        </w:rPr>
      </w:pPr>
      <w:hyperlink r:id="rId13" w:anchor="/bsdt?code=bsdt&amp;id=9916" w:history="1">
        <w:r>
          <w:rPr>
            <w:rStyle w:val="af2"/>
            <w:rFonts w:ascii="宋体" w:eastAsia="宋体" w:hAnsi="宋体" w:cs="宋体" w:hint="eastAsia"/>
            <w:sz w:val="24"/>
            <w:szCs w:val="24"/>
          </w:rPr>
          <w:t>https://etax.xinjiang.chinatax.gov.cn/yhs-web/cxzx/bmap.html#/bsdt?code=bsdt&amp;id=9916</w:t>
        </w:r>
      </w:hyperlink>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【办理流程】</w:t>
      </w:r>
    </w:p>
    <w:p w:rsidR="00AE78BC" w:rsidRDefault="00071150">
      <w:pPr>
        <w:wordWrap w:val="0"/>
        <w:spacing w:line="360" w:lineRule="auto"/>
        <w:rPr>
          <w:rFonts w:ascii="宋体" w:eastAsia="宋体" w:hAnsi="宋体"/>
          <w:sz w:val="24"/>
          <w:szCs w:val="24"/>
        </w:rPr>
      </w:pPr>
      <w:r>
        <w:rPr>
          <w:rFonts w:ascii="仿宋" w:eastAsia="仿宋" w:hAnsi="仿宋" w:cs="仿宋" w:hint="eastAsia"/>
          <w:noProof/>
          <w:sz w:val="24"/>
          <w:szCs w:val="24"/>
        </w:rPr>
        <w:drawing>
          <wp:inline distT="0" distB="0" distL="114300" distR="114300">
            <wp:extent cx="5268595" cy="1781175"/>
            <wp:effectExtent l="0" t="0" r="8255" b="0"/>
            <wp:docPr id="1" name="图片 1"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纳税人流程图(即办）"/>
                    <pic:cNvPicPr>
                      <a:picLocks noChangeAspect="1"/>
                    </pic:cNvPicPr>
                  </pic:nvPicPr>
                  <pic:blipFill>
                    <a:blip r:embed="rId11"/>
                    <a:stretch>
                      <a:fillRect/>
                    </a:stretch>
                  </pic:blipFill>
                  <pic:spPr>
                    <a:xfrm>
                      <a:off x="0" y="0"/>
                      <a:ext cx="5268595" cy="1781175"/>
                    </a:xfrm>
                    <a:prstGeom prst="rect">
                      <a:avLst/>
                    </a:prstGeom>
                  </pic:spPr>
                </pic:pic>
              </a:graphicData>
            </a:graphic>
          </wp:inline>
        </w:drawing>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【纳税人注意事项】</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纳税人对报送材料的真实性和合法性承担责任。</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税务机关提供“最多跑一次”服务。纳税人在资料完整且符合法定受理条件的前提下，最多只需要到税务机关跑一次。</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纳税人使用符合电子签名法规定条件的电子签名，与手写签名或者盖章具有同等法律效力。</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个人所得税税款所属期为</w:t>
      </w:r>
      <w:r>
        <w:rPr>
          <w:rFonts w:ascii="宋体" w:eastAsia="宋体" w:hAnsi="宋体" w:hint="eastAsia"/>
          <w:sz w:val="24"/>
          <w:szCs w:val="24"/>
        </w:rPr>
        <w:t>2019</w:t>
      </w:r>
      <w:r>
        <w:rPr>
          <w:rFonts w:ascii="宋体" w:eastAsia="宋体" w:hAnsi="宋体" w:hint="eastAsia"/>
          <w:sz w:val="24"/>
          <w:szCs w:val="24"/>
        </w:rPr>
        <w:t>年</w:t>
      </w:r>
      <w:r>
        <w:rPr>
          <w:rFonts w:ascii="宋体" w:eastAsia="宋体" w:hAnsi="宋体" w:hint="eastAsia"/>
          <w:sz w:val="24"/>
          <w:szCs w:val="24"/>
        </w:rPr>
        <w:t>1</w:t>
      </w:r>
      <w:r>
        <w:rPr>
          <w:rFonts w:ascii="宋体" w:eastAsia="宋体" w:hAnsi="宋体" w:hint="eastAsia"/>
          <w:sz w:val="24"/>
          <w:szCs w:val="24"/>
        </w:rPr>
        <w:t>月</w:t>
      </w:r>
      <w:r>
        <w:rPr>
          <w:rFonts w:ascii="宋体" w:eastAsia="宋体" w:hAnsi="宋体" w:hint="eastAsia"/>
          <w:sz w:val="24"/>
          <w:szCs w:val="24"/>
        </w:rPr>
        <w:t>1</w:t>
      </w:r>
      <w:r>
        <w:rPr>
          <w:rFonts w:ascii="宋体" w:eastAsia="宋体" w:hAnsi="宋体" w:hint="eastAsia"/>
          <w:sz w:val="24"/>
          <w:szCs w:val="24"/>
        </w:rPr>
        <w:t>日（含）以后的，税务机关开具个人所得税《纳税记录》；税款所属期为</w:t>
      </w:r>
      <w:r>
        <w:rPr>
          <w:rFonts w:ascii="宋体" w:eastAsia="宋体" w:hAnsi="宋体" w:hint="eastAsia"/>
          <w:sz w:val="24"/>
          <w:szCs w:val="24"/>
        </w:rPr>
        <w:t>2018</w:t>
      </w:r>
      <w:r>
        <w:rPr>
          <w:rFonts w:ascii="宋体" w:eastAsia="宋体" w:hAnsi="宋体" w:hint="eastAsia"/>
          <w:sz w:val="24"/>
          <w:szCs w:val="24"/>
        </w:rPr>
        <w:t>年</w:t>
      </w:r>
      <w:r>
        <w:rPr>
          <w:rFonts w:ascii="宋体" w:eastAsia="宋体" w:hAnsi="宋体" w:hint="eastAsia"/>
          <w:sz w:val="24"/>
          <w:szCs w:val="24"/>
        </w:rPr>
        <w:t>12</w:t>
      </w:r>
      <w:r>
        <w:rPr>
          <w:rFonts w:ascii="宋体" w:eastAsia="宋体" w:hAnsi="宋体" w:hint="eastAsia"/>
          <w:sz w:val="24"/>
          <w:szCs w:val="24"/>
        </w:rPr>
        <w:t>月</w:t>
      </w:r>
      <w:r>
        <w:rPr>
          <w:rFonts w:ascii="宋体" w:eastAsia="宋体" w:hAnsi="宋体" w:hint="eastAsia"/>
          <w:sz w:val="24"/>
          <w:szCs w:val="24"/>
        </w:rPr>
        <w:t>31</w:t>
      </w:r>
      <w:r>
        <w:rPr>
          <w:rFonts w:ascii="宋体" w:eastAsia="宋体" w:hAnsi="宋体" w:hint="eastAsia"/>
          <w:sz w:val="24"/>
          <w:szCs w:val="24"/>
        </w:rPr>
        <w:t>日（含）以前的，税务机关开具个人所得税《税收完税证明》（文书式）。</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个人所得税《纳税记录》涉及纳税人敏感信息，请妥善保存。</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纳税人对个人所得税《纳税记录》存在异议的，可以向该项记录中列明的税务机关申请核实。</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税务机关提供两种个人所得税《纳税记录》验证服务。一是通过手机</w:t>
      </w:r>
      <w:r>
        <w:rPr>
          <w:rFonts w:ascii="宋体" w:eastAsia="宋体" w:hAnsi="宋体" w:hint="eastAsia"/>
          <w:sz w:val="24"/>
          <w:szCs w:val="24"/>
        </w:rPr>
        <w:t>APP</w:t>
      </w:r>
      <w:r>
        <w:rPr>
          <w:rFonts w:ascii="宋体" w:eastAsia="宋体" w:hAnsi="宋体" w:hint="eastAsia"/>
          <w:sz w:val="24"/>
          <w:szCs w:val="24"/>
        </w:rPr>
        <w:t>扫描个人所得税</w:t>
      </w:r>
      <w:r>
        <w:rPr>
          <w:rFonts w:ascii="宋体" w:eastAsia="宋体" w:hAnsi="宋体" w:hint="eastAsia"/>
          <w:sz w:val="24"/>
          <w:szCs w:val="24"/>
        </w:rPr>
        <w:t>《纳税记录》中的二维码进行验证；二是通过自然人税收管</w:t>
      </w:r>
      <w:r>
        <w:rPr>
          <w:rFonts w:ascii="宋体" w:eastAsia="宋体" w:hAnsi="宋体" w:hint="eastAsia"/>
          <w:sz w:val="24"/>
          <w:szCs w:val="24"/>
        </w:rPr>
        <w:lastRenderedPageBreak/>
        <w:t>理系统输入个人所得税《纳税记录》中的验证码进行验证。</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8.</w:t>
      </w:r>
      <w:r>
        <w:rPr>
          <w:rFonts w:ascii="宋体" w:eastAsia="宋体" w:hAnsi="宋体" w:hint="eastAsia"/>
          <w:sz w:val="24"/>
          <w:szCs w:val="24"/>
        </w:rPr>
        <w:t>个人所得税《纳税记录》因不同打印设备造成的色差，不影响使用效力。</w:t>
      </w:r>
    </w:p>
    <w:p w:rsidR="00AE78BC" w:rsidRDefault="00071150">
      <w:pPr>
        <w:wordWrap w:val="0"/>
        <w:spacing w:line="360" w:lineRule="auto"/>
        <w:ind w:firstLine="480"/>
        <w:jc w:val="left"/>
        <w:rPr>
          <w:rFonts w:ascii="宋体" w:eastAsia="宋体" w:hAnsi="宋体"/>
          <w:kern w:val="0"/>
          <w:szCs w:val="21"/>
        </w:rPr>
      </w:pPr>
      <w:r>
        <w:rPr>
          <w:rFonts w:ascii="宋体" w:eastAsia="宋体" w:hAnsi="宋体" w:hint="eastAsia"/>
          <w:sz w:val="24"/>
          <w:szCs w:val="24"/>
        </w:rPr>
        <w:t>9.</w:t>
      </w:r>
      <w:r>
        <w:rPr>
          <w:rFonts w:ascii="宋体" w:eastAsia="宋体" w:hAnsi="宋体" w:hint="eastAsia"/>
          <w:sz w:val="24"/>
          <w:szCs w:val="24"/>
        </w:rPr>
        <w:t>个人所得税《纳税记录》不作纳税人记账、抵扣凭证。</w:t>
      </w:r>
    </w:p>
    <w:p w:rsidR="00AE78BC" w:rsidRDefault="00071150">
      <w:pPr>
        <w:wordWrap w:val="0"/>
        <w:rPr>
          <w:rFonts w:ascii="Times New Roman" w:eastAsia="黑体" w:hAnsi="Times New Roman" w:cs="Times New Roman"/>
          <w:b/>
          <w:bCs/>
          <w:kern w:val="24"/>
          <w:sz w:val="28"/>
          <w:szCs w:val="28"/>
        </w:rPr>
      </w:pPr>
      <w:r>
        <w:rPr>
          <w:rFonts w:ascii="Times New Roman" w:eastAsia="黑体" w:hAnsi="Times New Roman" w:cs="Times New Roman" w:hint="eastAsia"/>
          <w:b/>
          <w:bCs/>
          <w:kern w:val="24"/>
          <w:sz w:val="28"/>
          <w:szCs w:val="28"/>
        </w:rPr>
        <w:br w:type="page"/>
      </w:r>
    </w:p>
    <w:p w:rsidR="00AE78BC" w:rsidRDefault="00071150">
      <w:pPr>
        <w:wordWrap w:val="0"/>
        <w:spacing w:beforeLines="300" w:before="996" w:afterLines="100" w:after="332"/>
        <w:ind w:firstLine="510"/>
        <w:outlineLvl w:val="2"/>
        <w:rPr>
          <w:rFonts w:ascii="Times New Roman" w:eastAsia="黑体" w:hAnsi="Times New Roman" w:cs="Times New Roman"/>
          <w:b/>
          <w:bCs/>
          <w:kern w:val="24"/>
          <w:sz w:val="28"/>
          <w:szCs w:val="28"/>
        </w:rPr>
      </w:pPr>
      <w:r>
        <w:rPr>
          <w:rFonts w:ascii="Times New Roman" w:eastAsia="黑体" w:hAnsi="Times New Roman" w:cs="Times New Roman" w:hint="eastAsia"/>
          <w:b/>
          <w:bCs/>
          <w:kern w:val="24"/>
          <w:sz w:val="28"/>
          <w:szCs w:val="28"/>
        </w:rPr>
        <w:lastRenderedPageBreak/>
        <w:t>5</w:t>
      </w:r>
      <w:r>
        <w:rPr>
          <w:rFonts w:ascii="Times New Roman" w:eastAsia="黑体" w:hAnsi="Times New Roman" w:cs="Times New Roman" w:hint="eastAsia"/>
          <w:b/>
          <w:bCs/>
          <w:kern w:val="24"/>
          <w:sz w:val="28"/>
          <w:szCs w:val="28"/>
        </w:rPr>
        <w:t>.</w:t>
      </w:r>
      <w:r>
        <w:rPr>
          <w:rFonts w:ascii="Times New Roman" w:eastAsia="黑体" w:hAnsi="Times New Roman" w:cs="Times New Roman" w:hint="eastAsia"/>
          <w:b/>
          <w:bCs/>
          <w:kern w:val="24"/>
          <w:sz w:val="28"/>
          <w:szCs w:val="28"/>
        </w:rPr>
        <w:t>1</w:t>
      </w:r>
      <w:r>
        <w:rPr>
          <w:rFonts w:ascii="Times New Roman" w:eastAsia="黑体" w:hAnsi="Times New Roman" w:cs="Times New Roman" w:hint="eastAsia"/>
          <w:b/>
          <w:bCs/>
          <w:kern w:val="24"/>
          <w:sz w:val="28"/>
          <w:szCs w:val="28"/>
        </w:rPr>
        <w:t>.</w:t>
      </w:r>
      <w:r>
        <w:rPr>
          <w:rFonts w:ascii="Times New Roman" w:eastAsia="黑体" w:hAnsi="Times New Roman" w:cs="Times New Roman" w:hint="eastAsia"/>
          <w:b/>
          <w:bCs/>
          <w:kern w:val="24"/>
          <w:sz w:val="28"/>
          <w:szCs w:val="28"/>
        </w:rPr>
        <w:t>3</w:t>
      </w:r>
      <w:r>
        <w:rPr>
          <w:rFonts w:ascii="Times New Roman" w:eastAsia="黑体" w:hAnsi="Times New Roman" w:cs="Times New Roman" w:hint="eastAsia"/>
          <w:b/>
          <w:bCs/>
          <w:kern w:val="24"/>
          <w:sz w:val="28"/>
          <w:szCs w:val="28"/>
        </w:rPr>
        <w:t>—</w:t>
      </w:r>
      <w:r>
        <w:rPr>
          <w:rFonts w:ascii="Times New Roman" w:eastAsia="黑体" w:hAnsi="Times New Roman" w:cs="Times New Roman" w:hint="eastAsia"/>
          <w:b/>
          <w:bCs/>
          <w:kern w:val="24"/>
          <w:sz w:val="28"/>
          <w:szCs w:val="28"/>
        </w:rPr>
        <w:t>1</w:t>
      </w:r>
      <w:r>
        <w:rPr>
          <w:rFonts w:ascii="Times New Roman" w:eastAsia="黑体" w:hAnsi="Times New Roman" w:cs="Times New Roman" w:hint="eastAsia"/>
          <w:b/>
          <w:bCs/>
          <w:kern w:val="24"/>
          <w:sz w:val="28"/>
          <w:szCs w:val="28"/>
        </w:rPr>
        <w:t>31</w:t>
      </w:r>
      <w:r>
        <w:rPr>
          <w:rFonts w:ascii="Times New Roman" w:eastAsia="黑体" w:hAnsi="Times New Roman" w:cs="Times New Roman" w:hint="eastAsia"/>
          <w:b/>
          <w:bCs/>
          <w:kern w:val="24"/>
          <w:sz w:val="28"/>
          <w:szCs w:val="28"/>
        </w:rPr>
        <w:t xml:space="preserve">　</w:t>
      </w:r>
      <w:r>
        <w:rPr>
          <w:rFonts w:ascii="Times New Roman" w:eastAsia="黑体" w:hAnsi="Times New Roman" w:cs="Times New Roman" w:hint="eastAsia"/>
          <w:b/>
          <w:bCs/>
          <w:kern w:val="24"/>
          <w:sz w:val="28"/>
          <w:szCs w:val="28"/>
        </w:rPr>
        <w:t>转开印花税票销售凭证</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【事项名称】</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转开印花税票销售凭证</w:t>
      </w:r>
    </w:p>
    <w:p w:rsidR="00AE78BC" w:rsidRDefault="00071150">
      <w:pPr>
        <w:wordWrap w:val="0"/>
        <w:spacing w:line="360" w:lineRule="auto"/>
        <w:ind w:firstLineChars="200" w:firstLine="480"/>
        <w:rPr>
          <w:rFonts w:ascii="宋体" w:hAnsi="宋体"/>
          <w:sz w:val="24"/>
          <w:szCs w:val="24"/>
        </w:rPr>
      </w:pPr>
      <w:r>
        <w:rPr>
          <w:rFonts w:ascii="宋体" w:hAnsi="宋体" w:hint="eastAsia"/>
          <w:sz w:val="24"/>
          <w:szCs w:val="24"/>
        </w:rPr>
        <w:t>【申请条件】</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纳税人通过横向联网方式完成印花税款的缴纳或退还后，向主管税务机关申请开具《中华人民共和国印花税票销售凭证》（证明凭证）。</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【设定依据】</w:t>
      </w:r>
    </w:p>
    <w:p w:rsidR="00AE78BC" w:rsidRDefault="00071150">
      <w:pPr>
        <w:numPr>
          <w:ilvl w:val="255"/>
          <w:numId w:val="0"/>
        </w:num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《中华人民共和国印花税暂行条例》第五条</w:t>
      </w:r>
    </w:p>
    <w:p w:rsidR="00AE78BC" w:rsidRDefault="00071150">
      <w:pPr>
        <w:numPr>
          <w:ilvl w:val="255"/>
          <w:numId w:val="0"/>
        </w:num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《税收票证管理办法》（国家税务总局令第</w:t>
      </w:r>
      <w:r>
        <w:rPr>
          <w:rFonts w:ascii="宋体" w:eastAsia="宋体" w:hAnsi="宋体" w:hint="eastAsia"/>
          <w:sz w:val="24"/>
          <w:szCs w:val="24"/>
        </w:rPr>
        <w:t>28</w:t>
      </w:r>
      <w:r>
        <w:rPr>
          <w:rFonts w:ascii="宋体" w:eastAsia="宋体" w:hAnsi="宋体" w:hint="eastAsia"/>
          <w:sz w:val="24"/>
          <w:szCs w:val="24"/>
        </w:rPr>
        <w:t>号公布，国家税务总局令第</w:t>
      </w:r>
      <w:r>
        <w:rPr>
          <w:rFonts w:ascii="宋体" w:eastAsia="宋体" w:hAnsi="宋体" w:hint="eastAsia"/>
          <w:sz w:val="24"/>
          <w:szCs w:val="24"/>
        </w:rPr>
        <w:t>48</w:t>
      </w:r>
      <w:r>
        <w:rPr>
          <w:rFonts w:ascii="宋体" w:eastAsia="宋体" w:hAnsi="宋体" w:hint="eastAsia"/>
          <w:sz w:val="24"/>
          <w:szCs w:val="24"/>
        </w:rPr>
        <w:t>号修改）第十六条</w:t>
      </w:r>
    </w:p>
    <w:p w:rsidR="00AE78BC" w:rsidRDefault="00071150">
      <w:pPr>
        <w:numPr>
          <w:ilvl w:val="255"/>
          <w:numId w:val="0"/>
        </w:numPr>
        <w:wordWrap w:val="0"/>
        <w:spacing w:line="360" w:lineRule="auto"/>
        <w:ind w:firstLineChars="200" w:firstLine="480"/>
        <w:rPr>
          <w:rFonts w:ascii="宋体" w:eastAsia="宋体" w:hAnsi="宋体" w:cs="宋体"/>
          <w:sz w:val="28"/>
          <w:szCs w:val="28"/>
        </w:rPr>
      </w:pPr>
      <w:r>
        <w:rPr>
          <w:rFonts w:ascii="宋体" w:eastAsia="宋体" w:hAnsi="宋体" w:hint="eastAsia"/>
          <w:sz w:val="24"/>
          <w:szCs w:val="24"/>
        </w:rPr>
        <w:t>3.</w:t>
      </w:r>
      <w:r>
        <w:rPr>
          <w:rFonts w:ascii="宋体" w:eastAsia="宋体" w:hAnsi="宋体" w:hint="eastAsia"/>
          <w:sz w:val="24"/>
          <w:szCs w:val="24"/>
        </w:rPr>
        <w:t>《国家税务总局关于实施〈税收票证管理办法〉若干问题的公告》（国家税务总局公告</w:t>
      </w:r>
      <w:r>
        <w:rPr>
          <w:rFonts w:ascii="宋体" w:eastAsia="宋体" w:hAnsi="宋体" w:hint="eastAsia"/>
          <w:sz w:val="24"/>
          <w:szCs w:val="24"/>
        </w:rPr>
        <w:t>2013</w:t>
      </w:r>
      <w:r>
        <w:rPr>
          <w:rFonts w:ascii="宋体" w:eastAsia="宋体" w:hAnsi="宋体" w:hint="eastAsia"/>
          <w:sz w:val="24"/>
          <w:szCs w:val="24"/>
        </w:rPr>
        <w:t>年第</w:t>
      </w:r>
      <w:r>
        <w:rPr>
          <w:rFonts w:ascii="宋体" w:eastAsia="宋体" w:hAnsi="宋体" w:hint="eastAsia"/>
          <w:sz w:val="24"/>
          <w:szCs w:val="24"/>
        </w:rPr>
        <w:t>34</w:t>
      </w:r>
      <w:r>
        <w:rPr>
          <w:rFonts w:ascii="宋体" w:eastAsia="宋体" w:hAnsi="宋体" w:hint="eastAsia"/>
          <w:sz w:val="24"/>
          <w:szCs w:val="24"/>
        </w:rPr>
        <w:t>号）第二条第四项</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3418"/>
        <w:gridCol w:w="792"/>
        <w:gridCol w:w="1573"/>
      </w:tblGrid>
      <w:tr w:rsidR="00AE78BC">
        <w:trPr>
          <w:trHeight w:hRule="exact" w:val="684"/>
          <w:jc w:val="center"/>
        </w:trPr>
        <w:tc>
          <w:tcPr>
            <w:tcW w:w="2381"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适用情形</w:t>
            </w:r>
          </w:p>
        </w:tc>
        <w:tc>
          <w:tcPr>
            <w:tcW w:w="3418"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材料名称</w:t>
            </w:r>
          </w:p>
        </w:tc>
        <w:tc>
          <w:tcPr>
            <w:tcW w:w="792"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数量</w:t>
            </w:r>
          </w:p>
        </w:tc>
        <w:tc>
          <w:tcPr>
            <w:tcW w:w="1573" w:type="dxa"/>
            <w:tcBorders>
              <w:top w:val="single" w:sz="4" w:space="0" w:color="auto"/>
              <w:left w:val="single" w:sz="4" w:space="0" w:color="auto"/>
              <w:bottom w:val="single" w:sz="4" w:space="0" w:color="auto"/>
              <w:right w:val="single" w:sz="4" w:space="0" w:color="auto"/>
            </w:tcBorders>
            <w:shd w:val="clear" w:color="auto" w:fill="D9D9D9"/>
            <w:vAlign w:val="center"/>
          </w:tcPr>
          <w:p w:rsidR="00AE78BC" w:rsidRDefault="00071150">
            <w:pPr>
              <w:wordWrap w:val="0"/>
              <w:jc w:val="center"/>
              <w:rPr>
                <w:rFonts w:ascii="黑体" w:eastAsia="黑体" w:hAnsi="黑体" w:cs="Times New Roman"/>
                <w:szCs w:val="21"/>
              </w:rPr>
            </w:pPr>
            <w:r>
              <w:rPr>
                <w:rFonts w:ascii="黑体" w:eastAsia="黑体" w:hAnsi="黑体" w:cs="Times New Roman" w:hint="eastAsia"/>
                <w:szCs w:val="21"/>
              </w:rPr>
              <w:t>备注</w:t>
            </w:r>
          </w:p>
        </w:tc>
      </w:tr>
      <w:tr w:rsidR="00AE78BC">
        <w:trPr>
          <w:trHeight w:val="655"/>
          <w:jc w:val="center"/>
        </w:trPr>
        <w:tc>
          <w:tcPr>
            <w:tcW w:w="2381" w:type="dxa"/>
            <w:tcBorders>
              <w:left w:val="single" w:sz="4" w:space="0" w:color="auto"/>
              <w:right w:val="single" w:sz="4" w:space="0" w:color="auto"/>
            </w:tcBorders>
            <w:vAlign w:val="center"/>
          </w:tcPr>
          <w:p w:rsidR="00AE78BC" w:rsidRDefault="00071150">
            <w:pPr>
              <w:wordWrap w:val="0"/>
              <w:jc w:val="center"/>
              <w:rPr>
                <w:rFonts w:ascii="黑体" w:eastAsia="黑体" w:hAnsi="黑体" w:cs="Times New Roman"/>
                <w:szCs w:val="21"/>
              </w:rPr>
            </w:pPr>
            <w:r>
              <w:rPr>
                <w:rFonts w:ascii="黑体" w:eastAsia="黑体" w:hAnsi="黑体" w:cs="Microsoft Himalaya" w:hint="eastAsia"/>
                <w:sz w:val="18"/>
                <w:szCs w:val="18"/>
              </w:rPr>
              <w:t>自然人</w:t>
            </w:r>
          </w:p>
        </w:tc>
        <w:tc>
          <w:tcPr>
            <w:tcW w:w="3418" w:type="dxa"/>
            <w:tcBorders>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身份证件原件</w:t>
            </w:r>
          </w:p>
        </w:tc>
        <w:tc>
          <w:tcPr>
            <w:tcW w:w="792"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1</w:t>
            </w:r>
            <w:r>
              <w:rPr>
                <w:rFonts w:ascii="黑体" w:eastAsia="黑体" w:hAnsi="黑体" w:cs="Microsoft Himalaya" w:hint="eastAsia"/>
                <w:sz w:val="18"/>
                <w:szCs w:val="18"/>
              </w:rPr>
              <w:t>份</w:t>
            </w:r>
          </w:p>
        </w:tc>
        <w:tc>
          <w:tcPr>
            <w:tcW w:w="1573"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查验后退回</w:t>
            </w:r>
          </w:p>
        </w:tc>
      </w:tr>
      <w:tr w:rsidR="00AE78BC">
        <w:trPr>
          <w:trHeight w:val="1106"/>
          <w:jc w:val="center"/>
        </w:trPr>
        <w:tc>
          <w:tcPr>
            <w:tcW w:w="2381" w:type="dxa"/>
            <w:tcBorders>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Times New Roman" w:hint="eastAsia"/>
                <w:sz w:val="18"/>
              </w:rPr>
              <w:t>已办理税务登记的纳税人</w:t>
            </w:r>
          </w:p>
        </w:tc>
        <w:tc>
          <w:tcPr>
            <w:tcW w:w="3418" w:type="dxa"/>
            <w:tcBorders>
              <w:left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加载统一社会信用代码的营业执照（或</w:t>
            </w:r>
          </w:p>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税务登记证、组织机构代码证等）原件</w:t>
            </w:r>
          </w:p>
        </w:tc>
        <w:tc>
          <w:tcPr>
            <w:tcW w:w="792"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1</w:t>
            </w:r>
            <w:r>
              <w:rPr>
                <w:rFonts w:ascii="黑体" w:eastAsia="黑体" w:hAnsi="黑体" w:cs="Microsoft Himalaya" w:hint="eastAsia"/>
                <w:sz w:val="18"/>
                <w:szCs w:val="18"/>
              </w:rPr>
              <w:t>份</w:t>
            </w:r>
          </w:p>
        </w:tc>
        <w:tc>
          <w:tcPr>
            <w:tcW w:w="1573" w:type="dxa"/>
            <w:tcBorders>
              <w:top w:val="single" w:sz="4" w:space="0" w:color="auto"/>
              <w:left w:val="single" w:sz="4" w:space="0" w:color="auto"/>
              <w:bottom w:val="single" w:sz="4" w:space="0" w:color="auto"/>
              <w:right w:val="single" w:sz="4" w:space="0" w:color="auto"/>
            </w:tcBorders>
            <w:vAlign w:val="center"/>
          </w:tcPr>
          <w:p w:rsidR="00AE78BC" w:rsidRDefault="00071150">
            <w:pPr>
              <w:wordWrap w:val="0"/>
              <w:jc w:val="center"/>
              <w:rPr>
                <w:rFonts w:ascii="黑体" w:eastAsia="黑体" w:hAnsi="黑体" w:cs="Microsoft Himalaya"/>
                <w:sz w:val="18"/>
                <w:szCs w:val="18"/>
              </w:rPr>
            </w:pPr>
            <w:r>
              <w:rPr>
                <w:rFonts w:ascii="黑体" w:eastAsia="黑体" w:hAnsi="黑体" w:cs="Microsoft Himalaya" w:hint="eastAsia"/>
                <w:sz w:val="18"/>
                <w:szCs w:val="18"/>
              </w:rPr>
              <w:t>查验后退回</w:t>
            </w:r>
          </w:p>
        </w:tc>
      </w:tr>
    </w:tbl>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【办理地点】</w:t>
      </w:r>
    </w:p>
    <w:p w:rsidR="00AE78BC" w:rsidRDefault="00071150">
      <w:pPr>
        <w:pStyle w:val="aff1"/>
        <w:widowControl/>
        <w:wordWrap w:val="0"/>
        <w:adjustRightInd/>
        <w:snapToGrid/>
        <w:rPr>
          <w:rFonts w:ascii="宋体" w:eastAsia="宋体" w:hAnsi="宋体" w:cs="宋体"/>
          <w:bCs w:val="0"/>
        </w:rPr>
      </w:pPr>
      <w:r>
        <w:rPr>
          <w:rFonts w:ascii="宋体" w:eastAsia="宋体" w:hAnsi="宋体" w:cs="宋体" w:hint="eastAsia"/>
          <w:bCs w:val="0"/>
        </w:rPr>
        <w:t>可通过办税服务厅（场所）、新疆维吾尔自治区电子税务局办理，办税服务厅具体地点可点击下列链接通过办税地图获取：</w:t>
      </w:r>
    </w:p>
    <w:p w:rsidR="00AE78BC" w:rsidRDefault="00071150">
      <w:pPr>
        <w:pStyle w:val="aff1"/>
        <w:widowControl/>
        <w:wordWrap w:val="0"/>
        <w:adjustRightInd/>
        <w:snapToGrid/>
        <w:rPr>
          <w:rFonts w:ascii="宋体" w:eastAsia="宋体" w:hAnsi="宋体" w:cs="宋体"/>
          <w:bCs w:val="0"/>
        </w:rPr>
      </w:pPr>
      <w:hyperlink r:id="rId14" w:anchor="/bsdt?code=bsdt&amp;id=9916" w:history="1">
        <w:r>
          <w:rPr>
            <w:rStyle w:val="af2"/>
            <w:rFonts w:ascii="宋体" w:eastAsia="宋体" w:hAnsi="宋体" w:cs="宋体" w:hint="eastAsia"/>
            <w:bCs w:val="0"/>
          </w:rPr>
          <w:t>https://etax.xinjiang.chinatax.gov.cn/yhs-web/cxzx/bmap.html#/bsdt?code=bsdt&amp;id=9916</w:t>
        </w:r>
      </w:hyperlink>
    </w:p>
    <w:p w:rsidR="00AE78BC" w:rsidRDefault="00071150">
      <w:pPr>
        <w:pStyle w:val="aff1"/>
        <w:widowControl/>
        <w:wordWrap w:val="0"/>
        <w:adjustRightInd/>
        <w:snapToGrid/>
        <w:rPr>
          <w:rFonts w:ascii="宋体" w:eastAsia="宋体" w:hAnsi="宋体" w:cs="宋体"/>
          <w:bCs w:val="0"/>
        </w:rPr>
      </w:pPr>
      <w:r>
        <w:rPr>
          <w:rFonts w:ascii="宋体" w:eastAsia="宋体" w:hAnsi="宋体" w:cs="宋体" w:hint="eastAsia"/>
          <w:bCs w:val="0"/>
        </w:rPr>
        <w:t>新疆维吾尔自治区电子税务局网址为：</w:t>
      </w:r>
    </w:p>
    <w:p w:rsidR="00AE78BC" w:rsidRDefault="005C3839">
      <w:pPr>
        <w:wordWrap w:val="0"/>
        <w:spacing w:line="360" w:lineRule="auto"/>
        <w:ind w:firstLineChars="200" w:firstLine="480"/>
        <w:rPr>
          <w:rFonts w:ascii="宋体" w:eastAsia="宋体" w:hAnsi="宋体"/>
          <w:sz w:val="24"/>
          <w:szCs w:val="24"/>
        </w:rPr>
      </w:pPr>
      <w:r>
        <w:rPr>
          <w:rStyle w:val="af2"/>
          <w:rFonts w:ascii="宋体" w:eastAsia="宋体" w:hAnsi="宋体" w:cs="宋体" w:hint="eastAsia"/>
          <w:sz w:val="24"/>
          <w:szCs w:val="24"/>
        </w:rPr>
        <w:t>https://etax.xinjiang.chinatax.gov.cn</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【办理机构】</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主管税务机关</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lastRenderedPageBreak/>
        <w:t>【收费标准】</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不收费</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【办理时间】</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即时办结</w:t>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【联系电话】</w:t>
      </w:r>
    </w:p>
    <w:p w:rsidR="00AE78BC" w:rsidRDefault="00071150">
      <w:pPr>
        <w:ind w:firstLineChars="200" w:firstLine="480"/>
        <w:rPr>
          <w:rFonts w:ascii="宋体" w:eastAsia="宋体" w:hAnsi="宋体" w:cs="宋体"/>
          <w:sz w:val="24"/>
          <w:szCs w:val="24"/>
        </w:rPr>
      </w:pPr>
      <w:r>
        <w:rPr>
          <w:rFonts w:ascii="宋体" w:eastAsia="宋体" w:hAnsi="宋体" w:cs="宋体" w:hint="eastAsia"/>
          <w:sz w:val="24"/>
          <w:szCs w:val="24"/>
        </w:rPr>
        <w:t>主管税务机关对外公开的联系电话，可点击下列链接通过办税地图获取：</w:t>
      </w:r>
    </w:p>
    <w:p w:rsidR="00AE78BC" w:rsidRDefault="00071150">
      <w:pPr>
        <w:wordWrap w:val="0"/>
        <w:spacing w:line="360" w:lineRule="auto"/>
        <w:ind w:firstLineChars="200" w:firstLine="420"/>
        <w:rPr>
          <w:rFonts w:ascii="宋体" w:eastAsia="宋体" w:hAnsi="宋体"/>
          <w:sz w:val="24"/>
          <w:szCs w:val="24"/>
        </w:rPr>
      </w:pPr>
      <w:hyperlink r:id="rId15" w:anchor="/bsdt?code=bsdt&amp;id=9916" w:history="1">
        <w:r>
          <w:rPr>
            <w:rStyle w:val="af2"/>
            <w:rFonts w:ascii="宋体" w:eastAsia="宋体" w:hAnsi="宋体" w:cs="宋体" w:hint="eastAsia"/>
            <w:sz w:val="24"/>
            <w:szCs w:val="24"/>
          </w:rPr>
          <w:t>https://etax.xinjiang.chinatax.gov.cn/yhs-web/cxzx/bmap.html#/bsdt?code=bsdt&amp;id=9916</w:t>
        </w:r>
      </w:hyperlink>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【办理流程】</w:t>
      </w:r>
    </w:p>
    <w:p w:rsidR="00AE78BC" w:rsidRDefault="00071150">
      <w:pPr>
        <w:wordWrap w:val="0"/>
        <w:spacing w:line="360" w:lineRule="auto"/>
        <w:rPr>
          <w:rFonts w:ascii="宋体" w:eastAsia="宋体" w:hAnsi="宋体"/>
          <w:sz w:val="24"/>
          <w:szCs w:val="24"/>
        </w:rPr>
      </w:pPr>
      <w:r>
        <w:rPr>
          <w:rFonts w:ascii="宋体" w:eastAsia="仿宋_GB2312" w:hAnsi="宋体" w:hint="eastAsia"/>
          <w:noProof/>
        </w:rPr>
        <w:drawing>
          <wp:inline distT="0" distB="0" distL="114300" distR="114300">
            <wp:extent cx="5184140" cy="1776095"/>
            <wp:effectExtent l="0" t="0" r="12700" b="0"/>
            <wp:docPr id="86" name="图片 86" descr="C:\Users\baoqianyu\Desktop\流程图\即办\纳税人（无归档）.png纳税人（无归档）"/>
            <wp:cNvGraphicFramePr/>
            <a:graphic xmlns:a="http://schemas.openxmlformats.org/drawingml/2006/main">
              <a:graphicData uri="http://schemas.openxmlformats.org/drawingml/2006/picture">
                <pic:pic xmlns:pic="http://schemas.openxmlformats.org/drawingml/2006/picture">
                  <pic:nvPicPr>
                    <pic:cNvPr id="86" name="图片 86" descr="C:\Users\baoqianyu\Desktop\流程图\即办\纳税人（无归档）.png纳税人（无归档）"/>
                    <pic:cNvPicPr/>
                  </pic:nvPicPr>
                  <pic:blipFill>
                    <a:blip r:embed="rId16"/>
                    <a:srcRect/>
                    <a:stretch>
                      <a:fillRect/>
                    </a:stretch>
                  </pic:blipFill>
                  <pic:spPr>
                    <a:xfrm>
                      <a:off x="0" y="0"/>
                      <a:ext cx="5184140" cy="1776095"/>
                    </a:xfrm>
                    <a:prstGeom prst="rect">
                      <a:avLst/>
                    </a:prstGeom>
                  </pic:spPr>
                </pic:pic>
              </a:graphicData>
            </a:graphic>
          </wp:inline>
        </w:drawing>
      </w:r>
    </w:p>
    <w:p w:rsidR="00AE78BC" w:rsidRDefault="00071150">
      <w:pPr>
        <w:wordWrap w:val="0"/>
        <w:spacing w:line="360" w:lineRule="auto"/>
        <w:ind w:firstLineChars="200" w:firstLine="480"/>
        <w:rPr>
          <w:rFonts w:ascii="黑体" w:eastAsia="黑体" w:hAnsi="黑体" w:cs="Times New Roman"/>
          <w:bCs/>
          <w:sz w:val="24"/>
          <w:szCs w:val="24"/>
        </w:rPr>
      </w:pPr>
      <w:r>
        <w:rPr>
          <w:rFonts w:ascii="黑体" w:eastAsia="黑体" w:hAnsi="黑体" w:cs="Times New Roman" w:hint="eastAsia"/>
          <w:bCs/>
          <w:sz w:val="24"/>
          <w:szCs w:val="24"/>
        </w:rPr>
        <w:t>【纳税人注意事项】</w:t>
      </w:r>
    </w:p>
    <w:p w:rsidR="00AE78BC" w:rsidRDefault="00071150">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Times New Roman" w:eastAsia="宋体" w:hAnsi="Times New Roman" w:hint="eastAsia"/>
          <w:sz w:val="24"/>
          <w:szCs w:val="24"/>
        </w:rPr>
        <w:t>.</w:t>
      </w:r>
      <w:r>
        <w:rPr>
          <w:rFonts w:ascii="宋体" w:eastAsia="宋体" w:hAnsi="宋体" w:hint="eastAsia"/>
          <w:sz w:val="24"/>
          <w:szCs w:val="24"/>
        </w:rPr>
        <w:t>纳税人对报送材料的真实性和合法性承担责任。</w:t>
      </w:r>
    </w:p>
    <w:p w:rsidR="00AE78BC" w:rsidRDefault="00071150">
      <w:pPr>
        <w:wordWrap w:val="0"/>
        <w:spacing w:line="360" w:lineRule="auto"/>
        <w:ind w:firstLineChars="200" w:firstLine="480"/>
        <w:jc w:val="left"/>
        <w:rPr>
          <w:rFonts w:ascii="宋体" w:eastAsia="宋体" w:hAnsi="宋体"/>
          <w:kern w:val="0"/>
          <w:szCs w:val="21"/>
        </w:rPr>
      </w:pP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纳税人使用符合电子签名法规定条件的电子签名，与手写签名或者盖章具有同等法律效力。</w:t>
      </w:r>
    </w:p>
    <w:sectPr w:rsidR="00AE78BC">
      <w:headerReference w:type="even" r:id="rId17"/>
      <w:footerReference w:type="even" r:id="rId18"/>
      <w:footerReference w:type="first" r:id="rId19"/>
      <w:pgSz w:w="11906" w:h="16838"/>
      <w:pgMar w:top="1440" w:right="1800" w:bottom="1440" w:left="1800" w:header="851" w:footer="1077" w:gutter="0"/>
      <w:pgNumType w:start="1"/>
      <w:cols w:space="0"/>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150" w:rsidRDefault="00071150">
      <w:r>
        <w:separator/>
      </w:r>
    </w:p>
  </w:endnote>
  <w:endnote w:type="continuationSeparator" w:id="0">
    <w:p w:rsidR="00071150" w:rsidRDefault="0007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charset w:val="86"/>
    <w:family w:val="auto"/>
    <w:pitch w:val="default"/>
    <w:sig w:usb0="00000001" w:usb1="080E0000" w:usb2="00000000" w:usb3="00000000" w:csb0="00040000" w:csb1="00000000"/>
  </w:font>
  <w:font w:name="楷体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8BC" w:rsidRDefault="00AE78BC"/>
  <w:p w:rsidR="00AE78BC" w:rsidRDefault="00AE78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8BC" w:rsidRDefault="00AE78BC">
    <w:pPr>
      <w:pStyle w:val="ad"/>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150" w:rsidRDefault="00071150">
      <w:r>
        <w:separator/>
      </w:r>
    </w:p>
  </w:footnote>
  <w:footnote w:type="continuationSeparator" w:id="0">
    <w:p w:rsidR="00071150" w:rsidRDefault="00071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8BC" w:rsidRDefault="00AE78BC"/>
  <w:p w:rsidR="00AE78BC" w:rsidRDefault="00AE78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96AA7"/>
    <w:multiLevelType w:val="multilevel"/>
    <w:tmpl w:val="34B96AA7"/>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56930417"/>
    <w:multiLevelType w:val="multilevel"/>
    <w:tmpl w:val="56930417"/>
    <w:lvl w:ilvl="0">
      <w:start w:val="1"/>
      <w:numFmt w:val="bullet"/>
      <w:pStyle w:val="a0"/>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linkStyles/>
  <w:defaultTabStop w:val="420"/>
  <w:drawingGridHorizontalSpacing w:val="105"/>
  <w:drawingGridVerticalSpacing w:val="166"/>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019"/>
    <w:rsid w:val="00014597"/>
    <w:rsid w:val="000219BE"/>
    <w:rsid w:val="00022A54"/>
    <w:rsid w:val="00027D0B"/>
    <w:rsid w:val="000428BC"/>
    <w:rsid w:val="00055639"/>
    <w:rsid w:val="00056AFA"/>
    <w:rsid w:val="00071150"/>
    <w:rsid w:val="00083596"/>
    <w:rsid w:val="000846F2"/>
    <w:rsid w:val="00085796"/>
    <w:rsid w:val="00087CCE"/>
    <w:rsid w:val="0009448E"/>
    <w:rsid w:val="00095E86"/>
    <w:rsid w:val="000A7FAE"/>
    <w:rsid w:val="000C4BAC"/>
    <w:rsid w:val="000D3246"/>
    <w:rsid w:val="000E117A"/>
    <w:rsid w:val="000F2174"/>
    <w:rsid w:val="000F401F"/>
    <w:rsid w:val="000F7918"/>
    <w:rsid w:val="00101103"/>
    <w:rsid w:val="00106629"/>
    <w:rsid w:val="001170DA"/>
    <w:rsid w:val="00122D7E"/>
    <w:rsid w:val="00124831"/>
    <w:rsid w:val="001353E5"/>
    <w:rsid w:val="00141E5A"/>
    <w:rsid w:val="00155D6D"/>
    <w:rsid w:val="00162017"/>
    <w:rsid w:val="001707B5"/>
    <w:rsid w:val="00172A27"/>
    <w:rsid w:val="00176C38"/>
    <w:rsid w:val="00176D05"/>
    <w:rsid w:val="001815DE"/>
    <w:rsid w:val="00184FB7"/>
    <w:rsid w:val="00185305"/>
    <w:rsid w:val="001918A2"/>
    <w:rsid w:val="0019295E"/>
    <w:rsid w:val="001A102C"/>
    <w:rsid w:val="001A3A44"/>
    <w:rsid w:val="001A4206"/>
    <w:rsid w:val="001B08E0"/>
    <w:rsid w:val="001B12FC"/>
    <w:rsid w:val="001B2008"/>
    <w:rsid w:val="001B2DEB"/>
    <w:rsid w:val="001B408B"/>
    <w:rsid w:val="001C0D8A"/>
    <w:rsid w:val="001C52C0"/>
    <w:rsid w:val="001D1249"/>
    <w:rsid w:val="001D52C3"/>
    <w:rsid w:val="00204243"/>
    <w:rsid w:val="00205F2B"/>
    <w:rsid w:val="002065D3"/>
    <w:rsid w:val="00210A7D"/>
    <w:rsid w:val="0022514A"/>
    <w:rsid w:val="00236962"/>
    <w:rsid w:val="00243D67"/>
    <w:rsid w:val="00252B86"/>
    <w:rsid w:val="00262866"/>
    <w:rsid w:val="002A26F4"/>
    <w:rsid w:val="002A6FE7"/>
    <w:rsid w:val="002C6B1C"/>
    <w:rsid w:val="002C6E4B"/>
    <w:rsid w:val="002D1D84"/>
    <w:rsid w:val="002F3D8C"/>
    <w:rsid w:val="003019A9"/>
    <w:rsid w:val="00307C1D"/>
    <w:rsid w:val="0031726D"/>
    <w:rsid w:val="00325422"/>
    <w:rsid w:val="0033289C"/>
    <w:rsid w:val="0033606B"/>
    <w:rsid w:val="0035409D"/>
    <w:rsid w:val="0037334E"/>
    <w:rsid w:val="003841C2"/>
    <w:rsid w:val="003953B1"/>
    <w:rsid w:val="00396922"/>
    <w:rsid w:val="0039746C"/>
    <w:rsid w:val="003A346A"/>
    <w:rsid w:val="003A5CAC"/>
    <w:rsid w:val="003C4F84"/>
    <w:rsid w:val="003D2655"/>
    <w:rsid w:val="0041725F"/>
    <w:rsid w:val="00421FEB"/>
    <w:rsid w:val="00423EA4"/>
    <w:rsid w:val="004249AF"/>
    <w:rsid w:val="00424F2B"/>
    <w:rsid w:val="00437C55"/>
    <w:rsid w:val="00444868"/>
    <w:rsid w:val="004529C0"/>
    <w:rsid w:val="00455EB2"/>
    <w:rsid w:val="00457BC6"/>
    <w:rsid w:val="004632BD"/>
    <w:rsid w:val="00483124"/>
    <w:rsid w:val="00484369"/>
    <w:rsid w:val="00491001"/>
    <w:rsid w:val="00494B49"/>
    <w:rsid w:val="004A0290"/>
    <w:rsid w:val="004B0276"/>
    <w:rsid w:val="004B1EB6"/>
    <w:rsid w:val="004C2629"/>
    <w:rsid w:val="004D254E"/>
    <w:rsid w:val="004E720F"/>
    <w:rsid w:val="00502502"/>
    <w:rsid w:val="005030B3"/>
    <w:rsid w:val="005328DD"/>
    <w:rsid w:val="0054071F"/>
    <w:rsid w:val="00546B34"/>
    <w:rsid w:val="00554FB1"/>
    <w:rsid w:val="005570B3"/>
    <w:rsid w:val="00564C8F"/>
    <w:rsid w:val="00574BA2"/>
    <w:rsid w:val="00586BD8"/>
    <w:rsid w:val="005878D1"/>
    <w:rsid w:val="005A0272"/>
    <w:rsid w:val="005B1D79"/>
    <w:rsid w:val="005C3839"/>
    <w:rsid w:val="005D2B99"/>
    <w:rsid w:val="005F1645"/>
    <w:rsid w:val="005F18BE"/>
    <w:rsid w:val="005F42E9"/>
    <w:rsid w:val="00613186"/>
    <w:rsid w:val="00614451"/>
    <w:rsid w:val="00647993"/>
    <w:rsid w:val="00652D9C"/>
    <w:rsid w:val="00656D0E"/>
    <w:rsid w:val="00657F17"/>
    <w:rsid w:val="00663BE3"/>
    <w:rsid w:val="00666391"/>
    <w:rsid w:val="00675B35"/>
    <w:rsid w:val="0067754A"/>
    <w:rsid w:val="0068027D"/>
    <w:rsid w:val="00685E62"/>
    <w:rsid w:val="006909C3"/>
    <w:rsid w:val="00695D04"/>
    <w:rsid w:val="006A168C"/>
    <w:rsid w:val="006A7D06"/>
    <w:rsid w:val="006B538C"/>
    <w:rsid w:val="006C25E9"/>
    <w:rsid w:val="006C2653"/>
    <w:rsid w:val="006C3557"/>
    <w:rsid w:val="006E1FCC"/>
    <w:rsid w:val="006E3FFF"/>
    <w:rsid w:val="007026F1"/>
    <w:rsid w:val="00702F60"/>
    <w:rsid w:val="00703618"/>
    <w:rsid w:val="00706102"/>
    <w:rsid w:val="0071616B"/>
    <w:rsid w:val="007419E1"/>
    <w:rsid w:val="00742EA7"/>
    <w:rsid w:val="007441B3"/>
    <w:rsid w:val="0077089A"/>
    <w:rsid w:val="007726BC"/>
    <w:rsid w:val="00772A38"/>
    <w:rsid w:val="007830D2"/>
    <w:rsid w:val="0079465D"/>
    <w:rsid w:val="007D1B4B"/>
    <w:rsid w:val="007D3229"/>
    <w:rsid w:val="007D3DA9"/>
    <w:rsid w:val="007E236A"/>
    <w:rsid w:val="007E5D69"/>
    <w:rsid w:val="00805CAA"/>
    <w:rsid w:val="00812CE0"/>
    <w:rsid w:val="00813C92"/>
    <w:rsid w:val="00817B17"/>
    <w:rsid w:val="00843E9B"/>
    <w:rsid w:val="00855FB5"/>
    <w:rsid w:val="0089253F"/>
    <w:rsid w:val="00894C02"/>
    <w:rsid w:val="00897B07"/>
    <w:rsid w:val="008A395C"/>
    <w:rsid w:val="008A5AB4"/>
    <w:rsid w:val="008A7CB8"/>
    <w:rsid w:val="008B7867"/>
    <w:rsid w:val="008C56DC"/>
    <w:rsid w:val="008D2D18"/>
    <w:rsid w:val="008D760E"/>
    <w:rsid w:val="008E50DF"/>
    <w:rsid w:val="008E73A2"/>
    <w:rsid w:val="008F39D6"/>
    <w:rsid w:val="009136C2"/>
    <w:rsid w:val="00920D58"/>
    <w:rsid w:val="009264C7"/>
    <w:rsid w:val="0094443B"/>
    <w:rsid w:val="00950F23"/>
    <w:rsid w:val="009510F3"/>
    <w:rsid w:val="00951C42"/>
    <w:rsid w:val="009524B3"/>
    <w:rsid w:val="00964AB2"/>
    <w:rsid w:val="00981B18"/>
    <w:rsid w:val="00982FF2"/>
    <w:rsid w:val="00991B7B"/>
    <w:rsid w:val="009931EE"/>
    <w:rsid w:val="009A3A53"/>
    <w:rsid w:val="009B1386"/>
    <w:rsid w:val="009B1F30"/>
    <w:rsid w:val="009B72D0"/>
    <w:rsid w:val="009C0D37"/>
    <w:rsid w:val="009C75E2"/>
    <w:rsid w:val="009D1BD6"/>
    <w:rsid w:val="009D2C83"/>
    <w:rsid w:val="009D4CE8"/>
    <w:rsid w:val="009D68BC"/>
    <w:rsid w:val="009D76E6"/>
    <w:rsid w:val="009E0659"/>
    <w:rsid w:val="009E4D95"/>
    <w:rsid w:val="009F54A5"/>
    <w:rsid w:val="00A07666"/>
    <w:rsid w:val="00A203E4"/>
    <w:rsid w:val="00A24ACC"/>
    <w:rsid w:val="00A25A06"/>
    <w:rsid w:val="00A27456"/>
    <w:rsid w:val="00A303BF"/>
    <w:rsid w:val="00A40573"/>
    <w:rsid w:val="00A40737"/>
    <w:rsid w:val="00A425D7"/>
    <w:rsid w:val="00A46FC0"/>
    <w:rsid w:val="00A5597C"/>
    <w:rsid w:val="00A64AFE"/>
    <w:rsid w:val="00A82294"/>
    <w:rsid w:val="00A83B29"/>
    <w:rsid w:val="00A84DEB"/>
    <w:rsid w:val="00A909C2"/>
    <w:rsid w:val="00A91A5C"/>
    <w:rsid w:val="00A93A96"/>
    <w:rsid w:val="00AA06B2"/>
    <w:rsid w:val="00AA153D"/>
    <w:rsid w:val="00AB2A08"/>
    <w:rsid w:val="00AB3804"/>
    <w:rsid w:val="00AC27F5"/>
    <w:rsid w:val="00AD24C7"/>
    <w:rsid w:val="00AD24FB"/>
    <w:rsid w:val="00AD6FDC"/>
    <w:rsid w:val="00AE78BC"/>
    <w:rsid w:val="00AF359B"/>
    <w:rsid w:val="00B02155"/>
    <w:rsid w:val="00B05213"/>
    <w:rsid w:val="00B16479"/>
    <w:rsid w:val="00B22275"/>
    <w:rsid w:val="00B2254E"/>
    <w:rsid w:val="00B32882"/>
    <w:rsid w:val="00B4454A"/>
    <w:rsid w:val="00B571FF"/>
    <w:rsid w:val="00B724ED"/>
    <w:rsid w:val="00B76B46"/>
    <w:rsid w:val="00BA0A6B"/>
    <w:rsid w:val="00BA58A8"/>
    <w:rsid w:val="00BA616B"/>
    <w:rsid w:val="00BD2661"/>
    <w:rsid w:val="00BD3148"/>
    <w:rsid w:val="00BF1037"/>
    <w:rsid w:val="00BF27AF"/>
    <w:rsid w:val="00BF4082"/>
    <w:rsid w:val="00C220E7"/>
    <w:rsid w:val="00C26DCF"/>
    <w:rsid w:val="00C350CF"/>
    <w:rsid w:val="00C37101"/>
    <w:rsid w:val="00C37DAC"/>
    <w:rsid w:val="00C45F51"/>
    <w:rsid w:val="00C47269"/>
    <w:rsid w:val="00C50E6E"/>
    <w:rsid w:val="00C611BF"/>
    <w:rsid w:val="00C62740"/>
    <w:rsid w:val="00C64A65"/>
    <w:rsid w:val="00C66378"/>
    <w:rsid w:val="00C70C1E"/>
    <w:rsid w:val="00C85512"/>
    <w:rsid w:val="00C92C9B"/>
    <w:rsid w:val="00C93897"/>
    <w:rsid w:val="00CA1B22"/>
    <w:rsid w:val="00CC5707"/>
    <w:rsid w:val="00CE535D"/>
    <w:rsid w:val="00CE7967"/>
    <w:rsid w:val="00D122F9"/>
    <w:rsid w:val="00D17708"/>
    <w:rsid w:val="00D25E5C"/>
    <w:rsid w:val="00D32D48"/>
    <w:rsid w:val="00D414DB"/>
    <w:rsid w:val="00D41896"/>
    <w:rsid w:val="00D4297B"/>
    <w:rsid w:val="00D43B54"/>
    <w:rsid w:val="00D535F3"/>
    <w:rsid w:val="00D701E1"/>
    <w:rsid w:val="00D75529"/>
    <w:rsid w:val="00D958D0"/>
    <w:rsid w:val="00DB5D40"/>
    <w:rsid w:val="00DC440F"/>
    <w:rsid w:val="00DC6856"/>
    <w:rsid w:val="00DD47C6"/>
    <w:rsid w:val="00DE4D54"/>
    <w:rsid w:val="00DF7CEC"/>
    <w:rsid w:val="00E352C8"/>
    <w:rsid w:val="00E405C4"/>
    <w:rsid w:val="00E41825"/>
    <w:rsid w:val="00E427F0"/>
    <w:rsid w:val="00E94BD7"/>
    <w:rsid w:val="00EA52C6"/>
    <w:rsid w:val="00EA5875"/>
    <w:rsid w:val="00EB2C4A"/>
    <w:rsid w:val="00EB4199"/>
    <w:rsid w:val="00EC234E"/>
    <w:rsid w:val="00EC5949"/>
    <w:rsid w:val="00ED7E4E"/>
    <w:rsid w:val="00EE047B"/>
    <w:rsid w:val="00EF3450"/>
    <w:rsid w:val="00F04C54"/>
    <w:rsid w:val="00F15157"/>
    <w:rsid w:val="00F20827"/>
    <w:rsid w:val="00F20AD0"/>
    <w:rsid w:val="00F24E02"/>
    <w:rsid w:val="00F26C40"/>
    <w:rsid w:val="00F32C5A"/>
    <w:rsid w:val="00F378A9"/>
    <w:rsid w:val="00F5024D"/>
    <w:rsid w:val="00F875FC"/>
    <w:rsid w:val="00FA1801"/>
    <w:rsid w:val="00FA2371"/>
    <w:rsid w:val="00FB2C87"/>
    <w:rsid w:val="00FB4FBD"/>
    <w:rsid w:val="00FE45CB"/>
    <w:rsid w:val="00FE6CAE"/>
    <w:rsid w:val="00FE7518"/>
    <w:rsid w:val="00FF2C34"/>
    <w:rsid w:val="01BE203F"/>
    <w:rsid w:val="02B167E7"/>
    <w:rsid w:val="03325BDC"/>
    <w:rsid w:val="053B1E6D"/>
    <w:rsid w:val="053E3673"/>
    <w:rsid w:val="05E31965"/>
    <w:rsid w:val="06776244"/>
    <w:rsid w:val="067B1301"/>
    <w:rsid w:val="06B937CB"/>
    <w:rsid w:val="076426B1"/>
    <w:rsid w:val="0776685B"/>
    <w:rsid w:val="07B76200"/>
    <w:rsid w:val="085C5A9B"/>
    <w:rsid w:val="09194768"/>
    <w:rsid w:val="099E6CFD"/>
    <w:rsid w:val="09A36A58"/>
    <w:rsid w:val="0AF95025"/>
    <w:rsid w:val="0C5E65AF"/>
    <w:rsid w:val="0CD748A8"/>
    <w:rsid w:val="0D6E59B4"/>
    <w:rsid w:val="0F485ED3"/>
    <w:rsid w:val="10055ABE"/>
    <w:rsid w:val="103E2260"/>
    <w:rsid w:val="106025BC"/>
    <w:rsid w:val="11EA6E1C"/>
    <w:rsid w:val="11F8071E"/>
    <w:rsid w:val="13E72489"/>
    <w:rsid w:val="14B35ABB"/>
    <w:rsid w:val="15386581"/>
    <w:rsid w:val="15D72AD9"/>
    <w:rsid w:val="175041D8"/>
    <w:rsid w:val="180E0DFA"/>
    <w:rsid w:val="1B1724BE"/>
    <w:rsid w:val="1D677603"/>
    <w:rsid w:val="1DF22D21"/>
    <w:rsid w:val="1FC548E6"/>
    <w:rsid w:val="1FE562AD"/>
    <w:rsid w:val="20216B61"/>
    <w:rsid w:val="20724CB1"/>
    <w:rsid w:val="20C008FC"/>
    <w:rsid w:val="22E56A2D"/>
    <w:rsid w:val="23511335"/>
    <w:rsid w:val="23D7109D"/>
    <w:rsid w:val="24233482"/>
    <w:rsid w:val="24A645D7"/>
    <w:rsid w:val="24C3077E"/>
    <w:rsid w:val="25DE65B0"/>
    <w:rsid w:val="263F0855"/>
    <w:rsid w:val="26664549"/>
    <w:rsid w:val="278B0AA3"/>
    <w:rsid w:val="27E54098"/>
    <w:rsid w:val="27FE11C2"/>
    <w:rsid w:val="284A28DF"/>
    <w:rsid w:val="28567D67"/>
    <w:rsid w:val="286B4EA2"/>
    <w:rsid w:val="28DB4B88"/>
    <w:rsid w:val="28E1459D"/>
    <w:rsid w:val="290D07C0"/>
    <w:rsid w:val="2AD8690F"/>
    <w:rsid w:val="2B3B769A"/>
    <w:rsid w:val="2C4722CC"/>
    <w:rsid w:val="2C5B7E06"/>
    <w:rsid w:val="2C6217F0"/>
    <w:rsid w:val="2DF017F0"/>
    <w:rsid w:val="2E3B530A"/>
    <w:rsid w:val="2EA46F3D"/>
    <w:rsid w:val="2EE20D08"/>
    <w:rsid w:val="2F0D702A"/>
    <w:rsid w:val="2F1E5B0F"/>
    <w:rsid w:val="2FCC20A2"/>
    <w:rsid w:val="2FD80CE4"/>
    <w:rsid w:val="30E73C14"/>
    <w:rsid w:val="318532E1"/>
    <w:rsid w:val="32683CD3"/>
    <w:rsid w:val="329D4DEB"/>
    <w:rsid w:val="33904994"/>
    <w:rsid w:val="361F37A7"/>
    <w:rsid w:val="39202F38"/>
    <w:rsid w:val="395B28E8"/>
    <w:rsid w:val="398421A0"/>
    <w:rsid w:val="39D21B68"/>
    <w:rsid w:val="3A0A5338"/>
    <w:rsid w:val="3A683229"/>
    <w:rsid w:val="3BDC0C60"/>
    <w:rsid w:val="3C456EA6"/>
    <w:rsid w:val="3C7B0E78"/>
    <w:rsid w:val="3D353BC3"/>
    <w:rsid w:val="3DAE163E"/>
    <w:rsid w:val="3E161EC1"/>
    <w:rsid w:val="3F1C4540"/>
    <w:rsid w:val="40141AB8"/>
    <w:rsid w:val="40D01206"/>
    <w:rsid w:val="41986F7D"/>
    <w:rsid w:val="41A02B75"/>
    <w:rsid w:val="428132EB"/>
    <w:rsid w:val="42C32F37"/>
    <w:rsid w:val="431F7E04"/>
    <w:rsid w:val="432556B3"/>
    <w:rsid w:val="444D6F2C"/>
    <w:rsid w:val="44A01C33"/>
    <w:rsid w:val="44C272D0"/>
    <w:rsid w:val="44D13300"/>
    <w:rsid w:val="45FD2F49"/>
    <w:rsid w:val="463B482D"/>
    <w:rsid w:val="46D733A5"/>
    <w:rsid w:val="46EC280A"/>
    <w:rsid w:val="47A33BC9"/>
    <w:rsid w:val="488B6575"/>
    <w:rsid w:val="48EA4BC5"/>
    <w:rsid w:val="49D87317"/>
    <w:rsid w:val="4A22280F"/>
    <w:rsid w:val="4A7F0341"/>
    <w:rsid w:val="4AD67580"/>
    <w:rsid w:val="4C4766D7"/>
    <w:rsid w:val="4CDE625C"/>
    <w:rsid w:val="4D186266"/>
    <w:rsid w:val="4DFE1EB8"/>
    <w:rsid w:val="4E892F7F"/>
    <w:rsid w:val="502E74F4"/>
    <w:rsid w:val="514F1FC4"/>
    <w:rsid w:val="51E2609C"/>
    <w:rsid w:val="52511E65"/>
    <w:rsid w:val="529814C3"/>
    <w:rsid w:val="53990CF8"/>
    <w:rsid w:val="53A07FE6"/>
    <w:rsid w:val="53C24E0E"/>
    <w:rsid w:val="53E40019"/>
    <w:rsid w:val="53FA28D7"/>
    <w:rsid w:val="54151A75"/>
    <w:rsid w:val="54760DC1"/>
    <w:rsid w:val="54B21EB6"/>
    <w:rsid w:val="54B25989"/>
    <w:rsid w:val="55026AC5"/>
    <w:rsid w:val="55D76597"/>
    <w:rsid w:val="566F694F"/>
    <w:rsid w:val="567930B9"/>
    <w:rsid w:val="56980C87"/>
    <w:rsid w:val="56B33D15"/>
    <w:rsid w:val="56E04B20"/>
    <w:rsid w:val="576676CC"/>
    <w:rsid w:val="57CC6CFD"/>
    <w:rsid w:val="57E3278C"/>
    <w:rsid w:val="58BD389A"/>
    <w:rsid w:val="58DF27BC"/>
    <w:rsid w:val="58EC0FA3"/>
    <w:rsid w:val="59FD0CAD"/>
    <w:rsid w:val="5A582325"/>
    <w:rsid w:val="5A8B4D87"/>
    <w:rsid w:val="5ACE38AF"/>
    <w:rsid w:val="5B3A7367"/>
    <w:rsid w:val="5B6966C5"/>
    <w:rsid w:val="5BFF3413"/>
    <w:rsid w:val="5CDF48A6"/>
    <w:rsid w:val="5E304AA3"/>
    <w:rsid w:val="5F874B39"/>
    <w:rsid w:val="605A6609"/>
    <w:rsid w:val="607A3E9C"/>
    <w:rsid w:val="6094523F"/>
    <w:rsid w:val="60F5240B"/>
    <w:rsid w:val="60FC7417"/>
    <w:rsid w:val="62F30F74"/>
    <w:rsid w:val="6426030F"/>
    <w:rsid w:val="656876B2"/>
    <w:rsid w:val="65B9440A"/>
    <w:rsid w:val="6691281C"/>
    <w:rsid w:val="669C2430"/>
    <w:rsid w:val="6A4F61A3"/>
    <w:rsid w:val="6AE93603"/>
    <w:rsid w:val="6B0D63BC"/>
    <w:rsid w:val="6B841098"/>
    <w:rsid w:val="6C0F62E3"/>
    <w:rsid w:val="6C1F3680"/>
    <w:rsid w:val="6C4159E6"/>
    <w:rsid w:val="6C727FF5"/>
    <w:rsid w:val="6C915CD1"/>
    <w:rsid w:val="6CE753FC"/>
    <w:rsid w:val="6E1B7563"/>
    <w:rsid w:val="6E4C7EA3"/>
    <w:rsid w:val="6F3036D5"/>
    <w:rsid w:val="6F4D52AA"/>
    <w:rsid w:val="6FED5CFF"/>
    <w:rsid w:val="70424146"/>
    <w:rsid w:val="720E4274"/>
    <w:rsid w:val="72B81F67"/>
    <w:rsid w:val="73BE01BD"/>
    <w:rsid w:val="76C1741D"/>
    <w:rsid w:val="77286561"/>
    <w:rsid w:val="77D74AE3"/>
    <w:rsid w:val="77F12579"/>
    <w:rsid w:val="788919FE"/>
    <w:rsid w:val="797A4679"/>
    <w:rsid w:val="7B4914DD"/>
    <w:rsid w:val="7D4B05D8"/>
    <w:rsid w:val="7DB953AD"/>
    <w:rsid w:val="7DD66734"/>
    <w:rsid w:val="7E1B288D"/>
    <w:rsid w:val="7E3E2D0F"/>
    <w:rsid w:val="7EFA3B76"/>
    <w:rsid w:val="7F047AB4"/>
    <w:rsid w:val="7F461D1A"/>
    <w:rsid w:val="7FA85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8C1A4B-FBE3-4993-A41E-A208D2CB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qFormat="1"/>
    <w:lsdException w:name="caption" w:semiHidden="1" w:unhideWhenUsed="1" w:qFormat="1"/>
    <w:lsdException w:name="annotation reference" w:qFormat="1"/>
    <w:lsdException w:name="Default Paragraph Font" w:uiPriority="1" w:unhideWhenUsed="1" w:qFormat="1"/>
    <w:lsdException w:name="Hyperlink" w:uiPriority="99" w:unhideWhenUsed="1" w:qFormat="1"/>
    <w:lsdException w:name="Strong" w:uiPriority="22"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rsid w:val="005C3839"/>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0"/>
    <w:qFormat/>
    <w:pPr>
      <w:autoSpaceDE w:val="0"/>
      <w:autoSpaceDN w:val="0"/>
      <w:spacing w:beforeLines="220" w:afterLines="70"/>
      <w:jc w:val="center"/>
      <w:outlineLvl w:val="0"/>
    </w:pPr>
    <w:rPr>
      <w:rFonts w:ascii="黑体" w:eastAsia="黑体" w:hAnsi="黑体"/>
      <w:sz w:val="36"/>
      <w:szCs w:val="36"/>
      <w:lang w:val="zh-CN"/>
    </w:rPr>
  </w:style>
  <w:style w:type="paragraph" w:styleId="2">
    <w:name w:val="heading 2"/>
    <w:basedOn w:val="a1"/>
    <w:next w:val="a1"/>
    <w:link w:val="20"/>
    <w:unhideWhenUsed/>
    <w:qFormat/>
    <w:pPr>
      <w:keepNext/>
      <w:keepLines/>
      <w:spacing w:before="260" w:after="260" w:line="416" w:lineRule="auto"/>
      <w:outlineLvl w:val="1"/>
    </w:pPr>
    <w:rPr>
      <w:rFonts w:ascii="等线 Light" w:eastAsia="等线 Light" w:hAnsi="等线 Light"/>
      <w:b/>
      <w:bCs/>
      <w:sz w:val="32"/>
      <w:szCs w:val="32"/>
      <w:lang w:val="zh-CN"/>
    </w:rPr>
  </w:style>
  <w:style w:type="paragraph" w:styleId="3">
    <w:name w:val="heading 3"/>
    <w:basedOn w:val="a1"/>
    <w:next w:val="a1"/>
    <w:link w:val="30"/>
    <w:unhideWhenUsed/>
    <w:qFormat/>
    <w:pPr>
      <w:keepNext/>
      <w:keepLines/>
      <w:spacing w:before="260" w:after="260" w:line="416" w:lineRule="auto"/>
      <w:outlineLvl w:val="2"/>
    </w:pPr>
    <w:rPr>
      <w:b/>
      <w:bCs/>
      <w:sz w:val="32"/>
      <w:szCs w:val="32"/>
      <w:lang w:val="zh-CN"/>
    </w:rPr>
  </w:style>
  <w:style w:type="character" w:default="1" w:styleId="a2">
    <w:name w:val="Default Paragraph Font"/>
    <w:uiPriority w:val="1"/>
    <w:semiHidden/>
    <w:unhideWhenUsed/>
    <w:rsid w:val="005C383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C3839"/>
  </w:style>
  <w:style w:type="paragraph" w:styleId="a5">
    <w:name w:val="annotation subject"/>
    <w:basedOn w:val="a6"/>
    <w:next w:val="a6"/>
    <w:link w:val="a7"/>
    <w:qFormat/>
    <w:rPr>
      <w:rFonts w:eastAsiaTheme="minorEastAsia" w:hint="default"/>
      <w:b/>
      <w:bCs/>
      <w:sz w:val="21"/>
    </w:rPr>
  </w:style>
  <w:style w:type="paragraph" w:styleId="a6">
    <w:name w:val="annotation text"/>
    <w:basedOn w:val="a1"/>
    <w:link w:val="a8"/>
    <w:unhideWhenUsed/>
    <w:qFormat/>
    <w:pPr>
      <w:jc w:val="left"/>
    </w:pPr>
    <w:rPr>
      <w:rFonts w:eastAsia="仿宋_GB2312" w:hint="eastAsia"/>
      <w:sz w:val="24"/>
    </w:rPr>
  </w:style>
  <w:style w:type="paragraph" w:styleId="a9">
    <w:name w:val="Document Map"/>
    <w:basedOn w:val="a1"/>
    <w:link w:val="aa"/>
    <w:qFormat/>
    <w:rPr>
      <w:rFonts w:ascii="宋体"/>
      <w:sz w:val="18"/>
      <w:szCs w:val="18"/>
      <w:lang w:val="zh-CN"/>
    </w:rPr>
  </w:style>
  <w:style w:type="paragraph" w:styleId="ab">
    <w:name w:val="Balloon Text"/>
    <w:basedOn w:val="a1"/>
    <w:link w:val="ac"/>
    <w:qFormat/>
    <w:rPr>
      <w:sz w:val="18"/>
      <w:szCs w:val="18"/>
      <w:lang w:val="zh-CN"/>
    </w:rPr>
  </w:style>
  <w:style w:type="paragraph" w:styleId="ad">
    <w:name w:val="footer"/>
    <w:basedOn w:val="a1"/>
    <w:qFormat/>
    <w:pPr>
      <w:tabs>
        <w:tab w:val="center" w:pos="4153"/>
        <w:tab w:val="right" w:pos="8306"/>
      </w:tabs>
      <w:snapToGrid w:val="0"/>
      <w:spacing w:line="460" w:lineRule="exact"/>
      <w:ind w:firstLineChars="200" w:firstLine="200"/>
      <w:jc w:val="left"/>
    </w:pPr>
    <w:rPr>
      <w:sz w:val="18"/>
      <w:szCs w:val="18"/>
    </w:rPr>
  </w:style>
  <w:style w:type="paragraph" w:styleId="ae">
    <w:name w:val="header"/>
    <w:basedOn w:val="a1"/>
    <w:link w:val="af"/>
    <w:qFormat/>
    <w:pPr>
      <w:pBdr>
        <w:bottom w:val="single" w:sz="6" w:space="1" w:color="auto"/>
      </w:pBdr>
      <w:tabs>
        <w:tab w:val="center" w:pos="4153"/>
        <w:tab w:val="right" w:pos="8306"/>
      </w:tabs>
      <w:snapToGrid w:val="0"/>
      <w:jc w:val="center"/>
    </w:pPr>
    <w:rPr>
      <w:sz w:val="18"/>
      <w:szCs w:val="18"/>
      <w:lang w:val="zh-CN"/>
    </w:rPr>
  </w:style>
  <w:style w:type="paragraph" w:styleId="af0">
    <w:name w:val="Normal (Web)"/>
    <w:basedOn w:val="a1"/>
    <w:uiPriority w:val="99"/>
    <w:unhideWhenUsed/>
    <w:qFormat/>
    <w:pPr>
      <w:widowControl/>
      <w:spacing w:before="100" w:beforeAutospacing="1" w:after="100" w:afterAutospacing="1"/>
      <w:jc w:val="left"/>
    </w:pPr>
    <w:rPr>
      <w:rFonts w:ascii="宋体" w:hAnsi="宋体" w:cs="宋体"/>
      <w:kern w:val="0"/>
    </w:rPr>
  </w:style>
  <w:style w:type="character" w:styleId="af1">
    <w:name w:val="Strong"/>
    <w:uiPriority w:val="22"/>
    <w:qFormat/>
    <w:rPr>
      <w:b/>
      <w:bCs/>
    </w:rPr>
  </w:style>
  <w:style w:type="character" w:styleId="HTML">
    <w:name w:val="HTML Variable"/>
    <w:qFormat/>
    <w:rPr>
      <w:rFonts w:cs="Times New Roman"/>
    </w:rPr>
  </w:style>
  <w:style w:type="character" w:styleId="af2">
    <w:name w:val="Hyperlink"/>
    <w:basedOn w:val="a2"/>
    <w:uiPriority w:val="99"/>
    <w:unhideWhenUsed/>
    <w:qFormat/>
    <w:rPr>
      <w:color w:val="0000FF"/>
      <w:u w:val="single"/>
    </w:rPr>
  </w:style>
  <w:style w:type="character" w:styleId="af3">
    <w:name w:val="annotation reference"/>
    <w:basedOn w:val="a2"/>
    <w:qFormat/>
    <w:rPr>
      <w:sz w:val="21"/>
      <w:szCs w:val="21"/>
    </w:rPr>
  </w:style>
  <w:style w:type="table" w:styleId="af4">
    <w:name w:val="Table Grid"/>
    <w:basedOn w:val="a3"/>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批注框文本 字符"/>
    <w:link w:val="ab"/>
    <w:qFormat/>
    <w:rPr>
      <w:kern w:val="24"/>
      <w:sz w:val="18"/>
      <w:szCs w:val="18"/>
    </w:rPr>
  </w:style>
  <w:style w:type="character" w:customStyle="1" w:styleId="af">
    <w:name w:val="页眉 字符"/>
    <w:link w:val="ae"/>
    <w:qFormat/>
    <w:rPr>
      <w:kern w:val="24"/>
      <w:sz w:val="18"/>
      <w:szCs w:val="18"/>
    </w:rPr>
  </w:style>
  <w:style w:type="character" w:customStyle="1" w:styleId="GB2312">
    <w:name w:val="楷体_GB2312"/>
    <w:qFormat/>
    <w:rPr>
      <w:rFonts w:ascii="Times New Roman" w:eastAsia="楷体_GB2312" w:hAnsi="Times New Roman"/>
      <w:sz w:val="24"/>
      <w:szCs w:val="24"/>
    </w:rPr>
  </w:style>
  <w:style w:type="paragraph" w:customStyle="1" w:styleId="GB23122">
    <w:name w:val="样式 楷体_GB2312 首行缩进:  2 字符"/>
    <w:basedOn w:val="a1"/>
    <w:qFormat/>
    <w:rPr>
      <w:rFonts w:eastAsia="楷体_GB2312" w:cs="宋体"/>
    </w:rPr>
  </w:style>
  <w:style w:type="paragraph" w:customStyle="1" w:styleId="11">
    <w:name w:val="列出段落1"/>
    <w:basedOn w:val="a1"/>
    <w:link w:val="af5"/>
    <w:uiPriority w:val="34"/>
    <w:qFormat/>
    <w:pPr>
      <w:ind w:firstLineChars="200" w:firstLine="420"/>
    </w:pPr>
  </w:style>
  <w:style w:type="character" w:customStyle="1" w:styleId="20">
    <w:name w:val="标题 2 字符"/>
    <w:link w:val="2"/>
    <w:qFormat/>
    <w:rPr>
      <w:rFonts w:ascii="等线 Light" w:eastAsia="等线 Light" w:hAnsi="等线 Light" w:cs="Times New Roman"/>
      <w:b/>
      <w:bCs/>
      <w:kern w:val="24"/>
      <w:sz w:val="32"/>
      <w:szCs w:val="32"/>
    </w:rPr>
  </w:style>
  <w:style w:type="character" w:customStyle="1" w:styleId="30">
    <w:name w:val="标题 3 字符"/>
    <w:link w:val="3"/>
    <w:uiPriority w:val="9"/>
    <w:qFormat/>
    <w:rPr>
      <w:b/>
      <w:bCs/>
      <w:kern w:val="24"/>
      <w:sz w:val="32"/>
      <w:szCs w:val="32"/>
    </w:rPr>
  </w:style>
  <w:style w:type="character" w:customStyle="1" w:styleId="aa">
    <w:name w:val="文档结构图 字符"/>
    <w:link w:val="a9"/>
    <w:qFormat/>
    <w:rPr>
      <w:rFonts w:ascii="宋体"/>
      <w:kern w:val="24"/>
      <w:sz w:val="18"/>
      <w:szCs w:val="18"/>
    </w:rPr>
  </w:style>
  <w:style w:type="character" w:customStyle="1" w:styleId="10">
    <w:name w:val="标题 1 字符"/>
    <w:link w:val="1"/>
    <w:qFormat/>
    <w:locked/>
    <w:rPr>
      <w:rFonts w:ascii="黑体" w:eastAsia="黑体" w:hAnsi="黑体"/>
      <w:kern w:val="24"/>
      <w:sz w:val="36"/>
      <w:szCs w:val="36"/>
    </w:rPr>
  </w:style>
  <w:style w:type="paragraph" w:customStyle="1" w:styleId="41XX">
    <w:name w:val="4.1 XX优惠"/>
    <w:basedOn w:val="2"/>
    <w:link w:val="41XX0"/>
    <w:qFormat/>
    <w:pPr>
      <w:spacing w:before="660" w:line="240" w:lineRule="auto"/>
    </w:pPr>
    <w:rPr>
      <w:rFonts w:ascii="Arial" w:eastAsia="黑体" w:hAnsi="Arial"/>
    </w:rPr>
  </w:style>
  <w:style w:type="character" w:customStyle="1" w:styleId="41XX0">
    <w:name w:val="4.1 XX优惠 字符"/>
    <w:link w:val="41XX"/>
    <w:qFormat/>
    <w:rPr>
      <w:rFonts w:ascii="Arial" w:eastAsia="黑体" w:hAnsi="Arial"/>
      <w:b/>
      <w:bCs/>
      <w:kern w:val="24"/>
      <w:sz w:val="32"/>
      <w:szCs w:val="32"/>
    </w:rPr>
  </w:style>
  <w:style w:type="paragraph" w:customStyle="1" w:styleId="51">
    <w:name w:val="5.1证明"/>
    <w:basedOn w:val="41XX"/>
    <w:link w:val="510"/>
    <w:qFormat/>
  </w:style>
  <w:style w:type="paragraph" w:customStyle="1" w:styleId="411XX">
    <w:name w:val="4.1.1 XX优惠"/>
    <w:basedOn w:val="3"/>
    <w:link w:val="411XX0"/>
    <w:qFormat/>
    <w:pPr>
      <w:keepLines w:val="0"/>
      <w:snapToGrid w:val="0"/>
      <w:spacing w:before="0" w:afterLines="125" w:line="240" w:lineRule="auto"/>
    </w:pPr>
    <w:rPr>
      <w:rFonts w:ascii="Times New Roman" w:eastAsia="黑体" w:hAnsi="Times New Roman"/>
      <w:sz w:val="28"/>
      <w:szCs w:val="28"/>
    </w:rPr>
  </w:style>
  <w:style w:type="character" w:customStyle="1" w:styleId="510">
    <w:name w:val="5.1证明 字符"/>
    <w:basedOn w:val="41XX0"/>
    <w:link w:val="51"/>
    <w:qFormat/>
    <w:rPr>
      <w:rFonts w:ascii="Arial" w:eastAsia="黑体" w:hAnsi="Arial"/>
      <w:b/>
      <w:bCs/>
      <w:kern w:val="24"/>
      <w:sz w:val="32"/>
      <w:szCs w:val="32"/>
    </w:rPr>
  </w:style>
  <w:style w:type="character" w:customStyle="1" w:styleId="411XX0">
    <w:name w:val="4.1.1 XX优惠 字符"/>
    <w:link w:val="411XX"/>
    <w:qFormat/>
    <w:rPr>
      <w:rFonts w:ascii="Times New Roman" w:eastAsia="黑体" w:hAnsi="Times New Roman"/>
      <w:b/>
      <w:bCs/>
      <w:kern w:val="24"/>
      <w:sz w:val="28"/>
      <w:szCs w:val="28"/>
    </w:rPr>
  </w:style>
  <w:style w:type="paragraph" w:customStyle="1" w:styleId="511">
    <w:name w:val="5.1.1 完税"/>
    <w:basedOn w:val="411XX"/>
    <w:link w:val="5110"/>
    <w:qFormat/>
  </w:style>
  <w:style w:type="paragraph" w:customStyle="1" w:styleId="a">
    <w:name w:val="标签"/>
    <w:basedOn w:val="a1"/>
    <w:link w:val="af6"/>
    <w:qFormat/>
    <w:pPr>
      <w:numPr>
        <w:numId w:val="1"/>
      </w:numPr>
      <w:ind w:left="930"/>
    </w:pPr>
    <w:rPr>
      <w:rFonts w:ascii="Times New Roman" w:hAnsi="Times New Roman"/>
      <w:lang w:val="zh-CN"/>
    </w:rPr>
  </w:style>
  <w:style w:type="character" w:customStyle="1" w:styleId="5110">
    <w:name w:val="5.1.1 完税 字符"/>
    <w:basedOn w:val="411XX0"/>
    <w:link w:val="511"/>
    <w:qFormat/>
    <w:rPr>
      <w:rFonts w:ascii="Times New Roman" w:eastAsia="黑体" w:hAnsi="Times New Roman"/>
      <w:b/>
      <w:bCs/>
      <w:kern w:val="24"/>
      <w:sz w:val="28"/>
      <w:szCs w:val="28"/>
    </w:rPr>
  </w:style>
  <w:style w:type="character" w:customStyle="1" w:styleId="af6">
    <w:name w:val="标签 字符"/>
    <w:link w:val="a"/>
    <w:qFormat/>
    <w:rPr>
      <w:rFonts w:ascii="Times New Roman" w:hAnsi="Times New Roman"/>
      <w:kern w:val="24"/>
      <w:sz w:val="24"/>
      <w:szCs w:val="24"/>
    </w:rPr>
  </w:style>
  <w:style w:type="paragraph" w:customStyle="1" w:styleId="af7">
    <w:name w:val="【事项描】"/>
    <w:basedOn w:val="a1"/>
    <w:link w:val="af8"/>
    <w:qFormat/>
    <w:pPr>
      <w:snapToGrid w:val="0"/>
      <w:spacing w:line="360" w:lineRule="auto"/>
      <w:ind w:firstLineChars="200" w:firstLine="482"/>
    </w:pPr>
    <w:rPr>
      <w:rFonts w:ascii="宋体" w:hAnsi="宋体"/>
      <w:b/>
      <w:lang w:val="zh-CN"/>
    </w:rPr>
  </w:style>
  <w:style w:type="character" w:customStyle="1" w:styleId="af8">
    <w:name w:val="【事项描】 字符"/>
    <w:link w:val="af7"/>
    <w:qFormat/>
    <w:rPr>
      <w:rFonts w:ascii="宋体" w:hAnsi="宋体"/>
      <w:b/>
      <w:kern w:val="2"/>
      <w:sz w:val="24"/>
      <w:szCs w:val="24"/>
    </w:rPr>
  </w:style>
  <w:style w:type="paragraph" w:customStyle="1" w:styleId="af9">
    <w:name w:val="正文正文"/>
    <w:basedOn w:val="a1"/>
    <w:link w:val="afa"/>
    <w:qFormat/>
    <w:pPr>
      <w:snapToGrid w:val="0"/>
      <w:spacing w:line="360" w:lineRule="auto"/>
      <w:ind w:firstLineChars="200" w:firstLine="480"/>
    </w:pPr>
    <w:rPr>
      <w:rFonts w:ascii="宋体" w:hAnsi="宋体"/>
      <w:lang w:val="zh-CN"/>
    </w:rPr>
  </w:style>
  <w:style w:type="character" w:customStyle="1" w:styleId="afa">
    <w:name w:val="正文正文 字符"/>
    <w:link w:val="af9"/>
    <w:qFormat/>
    <w:rPr>
      <w:rFonts w:ascii="宋体" w:hAnsi="宋体"/>
      <w:kern w:val="2"/>
      <w:sz w:val="24"/>
      <w:szCs w:val="24"/>
    </w:rPr>
  </w:style>
  <w:style w:type="character" w:customStyle="1" w:styleId="af5">
    <w:name w:val="列表段落 字符"/>
    <w:basedOn w:val="a2"/>
    <w:link w:val="11"/>
    <w:uiPriority w:val="34"/>
    <w:qFormat/>
    <w:rPr>
      <w:kern w:val="2"/>
      <w:sz w:val="21"/>
      <w:szCs w:val="22"/>
    </w:rPr>
  </w:style>
  <w:style w:type="paragraph" w:customStyle="1" w:styleId="a0">
    <w:name w:val="标签标签"/>
    <w:basedOn w:val="12"/>
    <w:link w:val="afb"/>
    <w:qFormat/>
    <w:pPr>
      <w:numPr>
        <w:numId w:val="2"/>
      </w:numPr>
      <w:snapToGrid w:val="0"/>
      <w:spacing w:beforeLines="25" w:afterLines="25" w:line="360" w:lineRule="auto"/>
      <w:ind w:left="0" w:firstLine="480"/>
    </w:pPr>
    <w:rPr>
      <w:rFonts w:ascii="黑体" w:eastAsia="黑体" w:hAnsi="黑体"/>
    </w:rPr>
  </w:style>
  <w:style w:type="paragraph" w:customStyle="1" w:styleId="12">
    <w:name w:val="列表段落1"/>
    <w:basedOn w:val="a1"/>
    <w:uiPriority w:val="34"/>
    <w:qFormat/>
    <w:pPr>
      <w:ind w:firstLineChars="200" w:firstLine="420"/>
    </w:pPr>
  </w:style>
  <w:style w:type="character" w:customStyle="1" w:styleId="afb">
    <w:name w:val="标签标签 字符"/>
    <w:basedOn w:val="af5"/>
    <w:link w:val="a0"/>
    <w:qFormat/>
    <w:rPr>
      <w:rFonts w:ascii="黑体" w:eastAsia="黑体" w:hAnsi="黑体"/>
      <w:kern w:val="24"/>
      <w:sz w:val="24"/>
      <w:szCs w:val="24"/>
    </w:rPr>
  </w:style>
  <w:style w:type="paragraph" w:customStyle="1" w:styleId="13">
    <w:name w:val="样式1【标准】"/>
    <w:basedOn w:val="1"/>
    <w:link w:val="14"/>
    <w:qFormat/>
    <w:pPr>
      <w:keepNext/>
      <w:keepLines/>
      <w:tabs>
        <w:tab w:val="center" w:pos="4153"/>
        <w:tab w:val="left" w:pos="6771"/>
      </w:tabs>
      <w:topLinePunct/>
      <w:adjustRightInd w:val="0"/>
      <w:spacing w:beforeLines="100" w:afterLines="100" w:line="360" w:lineRule="auto"/>
      <w:ind w:firstLineChars="200" w:firstLine="723"/>
    </w:pPr>
    <w:rPr>
      <w:rFonts w:ascii="Times New Roman" w:hAnsi="Times New Roman" w:cs="Times New Roman"/>
      <w:b/>
      <w:kern w:val="24"/>
      <w:lang w:val="en-US"/>
    </w:rPr>
  </w:style>
  <w:style w:type="character" w:customStyle="1" w:styleId="14">
    <w:name w:val="样式1【标准】 字符"/>
    <w:basedOn w:val="10"/>
    <w:link w:val="13"/>
    <w:qFormat/>
    <w:rPr>
      <w:rFonts w:ascii="Times New Roman" w:eastAsia="黑体" w:hAnsi="Times New Roman" w:cs="Times New Roman"/>
      <w:b/>
      <w:kern w:val="24"/>
      <w:sz w:val="36"/>
      <w:szCs w:val="36"/>
    </w:rPr>
  </w:style>
  <w:style w:type="paragraph" w:customStyle="1" w:styleId="afc">
    <w:name w:val="二级标题"/>
    <w:basedOn w:val="2"/>
    <w:link w:val="afd"/>
    <w:qFormat/>
    <w:pPr>
      <w:spacing w:beforeLines="150" w:afterLines="150" w:line="360" w:lineRule="auto"/>
      <w:ind w:firstLineChars="200" w:firstLine="643"/>
    </w:pPr>
    <w:rPr>
      <w:rFonts w:ascii="Times New Roman" w:eastAsia="黑体" w:hAnsi="Times New Roman" w:cs="Times New Roman"/>
      <w:lang w:val="en-US"/>
    </w:rPr>
  </w:style>
  <w:style w:type="character" w:customStyle="1" w:styleId="afd">
    <w:name w:val="二级标题 字符"/>
    <w:basedOn w:val="a2"/>
    <w:link w:val="afc"/>
    <w:qFormat/>
    <w:rPr>
      <w:rFonts w:ascii="Times New Roman" w:eastAsia="黑体" w:hAnsi="Times New Roman" w:cs="Times New Roman"/>
      <w:b/>
      <w:bCs/>
      <w:kern w:val="2"/>
      <w:sz w:val="32"/>
      <w:szCs w:val="32"/>
    </w:rPr>
  </w:style>
  <w:style w:type="table" w:customStyle="1" w:styleId="21">
    <w:name w:val="样式2"/>
    <w:basedOn w:val="a3"/>
    <w:uiPriority w:val="99"/>
    <w:qFormat/>
    <w:rPr>
      <w:kern w:val="2"/>
      <w:sz w:val="21"/>
      <w:szCs w:val="22"/>
    </w:rPr>
    <w:tblPr/>
  </w:style>
  <w:style w:type="character" w:customStyle="1" w:styleId="a8">
    <w:name w:val="批注文字 字符"/>
    <w:basedOn w:val="a2"/>
    <w:link w:val="a6"/>
    <w:qFormat/>
    <w:rPr>
      <w:rFonts w:eastAsia="仿宋_GB2312"/>
      <w:kern w:val="2"/>
      <w:sz w:val="24"/>
      <w:szCs w:val="22"/>
    </w:rPr>
  </w:style>
  <w:style w:type="character" w:customStyle="1" w:styleId="a7">
    <w:name w:val="批注主题 字符"/>
    <w:basedOn w:val="a8"/>
    <w:link w:val="a5"/>
    <w:qFormat/>
    <w:rPr>
      <w:rFonts w:eastAsia="仿宋_GB2312"/>
      <w:b/>
      <w:bCs/>
      <w:kern w:val="2"/>
      <w:sz w:val="21"/>
      <w:szCs w:val="22"/>
    </w:rPr>
  </w:style>
  <w:style w:type="paragraph" w:customStyle="1" w:styleId="afe">
    <w:name w:val="材料 表头"/>
    <w:basedOn w:val="aff"/>
    <w:qFormat/>
  </w:style>
  <w:style w:type="paragraph" w:customStyle="1" w:styleId="aff">
    <w:name w:val="政策 表头"/>
    <w:basedOn w:val="a1"/>
    <w:qFormat/>
    <w:pPr>
      <w:jc w:val="center"/>
    </w:pPr>
    <w:rPr>
      <w:rFonts w:ascii="黑体" w:eastAsia="黑体" w:hAnsi="黑体"/>
      <w:szCs w:val="21"/>
      <w:lang w:val="zh-CN"/>
    </w:rPr>
  </w:style>
  <w:style w:type="paragraph" w:customStyle="1" w:styleId="aff0">
    <w:name w:val="材料 文本"/>
    <w:basedOn w:val="a1"/>
    <w:qFormat/>
    <w:pPr>
      <w:jc w:val="center"/>
    </w:pPr>
    <w:rPr>
      <w:rFonts w:ascii="黑体" w:eastAsia="黑体" w:hAnsi="黑体"/>
      <w:sz w:val="18"/>
      <w:szCs w:val="18"/>
    </w:rPr>
  </w:style>
  <w:style w:type="paragraph" w:customStyle="1" w:styleId="aff1">
    <w:name w:val="事项名称"/>
    <w:basedOn w:val="a1"/>
    <w:next w:val="a1"/>
    <w:qFormat/>
    <w:pPr>
      <w:adjustRightInd w:val="0"/>
      <w:snapToGrid w:val="0"/>
      <w:spacing w:line="360" w:lineRule="auto"/>
      <w:ind w:firstLineChars="200" w:firstLine="480"/>
    </w:pPr>
    <w:rPr>
      <w:rFonts w:ascii="黑体" w:eastAsia="黑体" w:hAnsi="黑体"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tax.xinjiang.chinatax.gov.cn/yhs-web/cxzx/bmap.htm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tax.xinjiang.chinatax.gov.cn/yhs-web/cxzx/bmap.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etax.xinjiang.chinatax.gov.cn/yhs-web/cxzx/bmap.html" TargetMode="External"/><Relationship Id="rId10" Type="http://schemas.openxmlformats.org/officeDocument/2006/relationships/hyperlink" Target="https://etax.xinjiang.chinatax.gov.cn/yhs-web/cxzx/bmap.htm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etax.xinjiang.chinatax.gov.cn/yhs-web/cxzx/bmap.html" TargetMode="External"/><Relationship Id="rId14" Type="http://schemas.openxmlformats.org/officeDocument/2006/relationships/hyperlink" Target="https://etax.xinjiang.chinatax.gov.cn/yhs-web/cxzx/bmap.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56FB41-6961-48DF-8459-0EE06FBC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678</Words>
  <Characters>3865</Characters>
  <Application>Microsoft Office Word</Application>
  <DocSecurity>0</DocSecurity>
  <Lines>32</Lines>
  <Paragraphs>9</Paragraphs>
  <ScaleCrop>false</ScaleCrop>
  <Company>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证明办理规范</dc:title>
  <dc:creator>鲍倩钰</dc:creator>
  <cp:lastModifiedBy>liyongbin</cp:lastModifiedBy>
  <cp:revision>41</cp:revision>
  <dcterms:created xsi:type="dcterms:W3CDTF">2019-07-03T19:47:00Z</dcterms:created>
  <dcterms:modified xsi:type="dcterms:W3CDTF">2019-10-30T10:41:00Z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