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96" w:rsidRDefault="00722CAA">
      <w:pPr>
        <w:pStyle w:val="3sunshine"/>
        <w:keepNext w:val="0"/>
        <w:wordWrap w:val="0"/>
        <w:topLinePunct w:val="0"/>
        <w:adjustRightInd/>
        <w:snapToGrid/>
        <w:spacing w:before="332" w:after="332"/>
      </w:pPr>
      <w:bookmarkStart w:id="0" w:name="_Toc459388209"/>
      <w:bookmarkStart w:id="1" w:name="_Toc459987190"/>
      <w:bookmarkStart w:id="2" w:name="_Toc459387029"/>
      <w:r>
        <w:rPr>
          <w:rFonts w:hint="eastAsia"/>
        </w:rPr>
        <w:t>1</w:t>
      </w:r>
      <w:r w:rsidR="006927C8">
        <w:rPr>
          <w:rFonts w:hint="eastAsia"/>
        </w:rPr>
        <w:t>.</w:t>
      </w:r>
      <w:r>
        <w:rPr>
          <w:rFonts w:hint="eastAsia"/>
        </w:rPr>
        <w:t>一照一码户登记信息确认</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一照一码户登记信息确认</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已实行“多证合一、一照一码”登记模式的纳税人，首次办理涉税事宜时，对税务机关依据市场监督管理等部门共享信息制作的《“多证合一”登记信息确认表》进行确认，</w:t>
      </w:r>
      <w:r>
        <w:rPr>
          <w:rFonts w:ascii="宋体" w:eastAsia="宋体" w:hAnsi="宋体"/>
          <w:bCs w:val="0"/>
        </w:rPr>
        <w:t>对其中不全的信息进行补充，对不准</w:t>
      </w:r>
      <w:r>
        <w:rPr>
          <w:rFonts w:ascii="宋体" w:eastAsia="宋体" w:hAnsi="宋体" w:hint="eastAsia"/>
          <w:bCs w:val="0"/>
        </w:rPr>
        <w:t>确</w:t>
      </w:r>
      <w:r>
        <w:rPr>
          <w:rFonts w:ascii="宋体" w:eastAsia="宋体" w:hAnsi="宋体"/>
          <w:bCs w:val="0"/>
        </w:rPr>
        <w:t>的信息进行更正。</w:t>
      </w:r>
    </w:p>
    <w:p w:rsidR="00B43696" w:rsidRDefault="00722CAA">
      <w:pPr>
        <w:wordWrap w:val="0"/>
        <w:spacing w:line="360" w:lineRule="auto"/>
        <w:ind w:firstLineChars="200" w:firstLine="480"/>
        <w:rPr>
          <w:rFonts w:eastAsia="黑体"/>
          <w:sz w:val="24"/>
        </w:rPr>
      </w:pPr>
      <w:r>
        <w:rPr>
          <w:rFonts w:eastAsia="黑体" w:hint="eastAsia"/>
          <w:sz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1.《中华人民共和国税收征收管理法》第十五条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3.《税务登记管理办法》（国家税务总局令第7号公布，国家税务总局令第36号、第44号、第48号修改）第一章</w:t>
      </w:r>
    </w:p>
    <w:p w:rsidR="00B43696" w:rsidRDefault="00722CAA">
      <w:pPr>
        <w:pStyle w:val="af5"/>
        <w:wordWrap w:val="0"/>
        <w:adjustRightInd/>
        <w:snapToGrid/>
      </w:pPr>
      <w:r>
        <w:rPr>
          <w:rFonts w:hint="eastAsia"/>
        </w:rPr>
        <w:t>【办理材料】</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一照一码户登记信息确认无需提供材料。</w:t>
      </w:r>
    </w:p>
    <w:p w:rsidR="00B43696" w:rsidRDefault="00722CAA">
      <w:pPr>
        <w:pStyle w:val="af5"/>
        <w:wordWrap w:val="0"/>
        <w:adjustRightInd/>
        <w:snapToGrid/>
      </w:pPr>
      <w:r>
        <w:rPr>
          <w:rFonts w:hint="eastAsia"/>
        </w:rPr>
        <w:t>【办理地点】</w:t>
      </w:r>
    </w:p>
    <w:p w:rsidR="00B43696" w:rsidRDefault="00722CAA">
      <w:pPr>
        <w:pStyle w:val="af5"/>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hyperlink r:id="rId7" w:anchor="/bsdt?code=bsdt&amp;id=9916" w:history="1">
        <w:r>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Style w:val="af2"/>
          <w:rFonts w:ascii="宋体" w:eastAsia="宋体" w:hAnsi="宋体" w:cstheme="minorBidi"/>
          <w:bCs w:val="0"/>
        </w:rPr>
      </w:pPr>
      <w:r>
        <w:rPr>
          <w:rFonts w:ascii="宋体" w:eastAsia="宋体" w:hAnsi="宋体" w:cstheme="minorBidi" w:hint="eastAsia"/>
          <w:bCs w:val="0"/>
        </w:rPr>
        <w:t>新疆维吾尔自治区电子税务局网址为：</w:t>
      </w:r>
      <w:r w:rsidR="004B763D">
        <w:rPr>
          <w:rStyle w:val="af2"/>
          <w:rFonts w:ascii="宋体" w:eastAsia="宋体" w:hAnsi="宋体" w:cstheme="minorBidi" w:hint="eastAsia"/>
          <w:bCs w:val="0"/>
        </w:rPr>
        <w:t>https://etax.xinjiang.chinatax.gov.cn</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lastRenderedPageBreak/>
        <w:t>【联系电话】</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主管税务机关对外公开的联系电话，可点击下列链接通过办税地图获取</w:t>
      </w:r>
    </w:p>
    <w:p w:rsidR="00B43696" w:rsidRDefault="00722CAA">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https://etax.xinjiang.chinatax.gov.cn/yhs-web/cxzx/bmap.html#/bsdt?code=bsdt&amp;id=9916</w:t>
      </w:r>
    </w:p>
    <w:p w:rsidR="00B43696" w:rsidRDefault="00722CAA">
      <w:pPr>
        <w:pStyle w:val="af5"/>
        <w:wordWrap w:val="0"/>
        <w:adjustRightInd/>
        <w:snapToGrid/>
      </w:pPr>
      <w:r>
        <w:rPr>
          <w:rFonts w:hint="eastAsia"/>
        </w:rPr>
        <w:t>【办理流程】</w:t>
      </w:r>
    </w:p>
    <w:p w:rsidR="00B43696" w:rsidRDefault="00722CAA">
      <w:pPr>
        <w:wordWrap w:val="0"/>
        <w:spacing w:line="360" w:lineRule="auto"/>
        <w:ind w:firstLineChars="200" w:firstLine="420"/>
        <w:rPr>
          <w:rFonts w:ascii="Calibri" w:eastAsia="宋体" w:hAnsi="Calibri"/>
        </w:rPr>
      </w:pPr>
      <w:r>
        <w:rPr>
          <w:noProof/>
        </w:rPr>
        <w:drawing>
          <wp:inline distT="0" distB="0" distL="114300" distR="114300">
            <wp:extent cx="5184140" cy="1579880"/>
            <wp:effectExtent l="0" t="0" r="12700" b="0"/>
            <wp:docPr id="1" name="图片 131"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1" name="图片 131" descr="C:\Users\baoqianyu\Desktop\流程图\一照一码户登记信息确认.png一照一码户登记信息确认"/>
                    <pic:cNvPicPr/>
                  </pic:nvPicPr>
                  <pic:blipFill>
                    <a:blip r:embed="rId8" cstate="print"/>
                    <a:stretch>
                      <a:fillRect/>
                    </a:stretch>
                  </pic:blipFill>
                  <pic:spPr>
                    <a:xfrm>
                      <a:off x="0" y="0"/>
                      <a:ext cx="5184140" cy="1579880"/>
                    </a:xfrm>
                    <a:prstGeom prst="rect">
                      <a:avLst/>
                    </a:prstGeom>
                    <a:noFill/>
                    <a:ln>
                      <a:noFill/>
                    </a:ln>
                  </pic:spPr>
                </pic:pic>
              </a:graphicData>
            </a:graphic>
          </wp:inline>
        </w:drawing>
      </w:r>
    </w:p>
    <w:p w:rsidR="00B43696" w:rsidRDefault="00722CAA">
      <w:pPr>
        <w:pStyle w:val="af5"/>
        <w:wordWrap w:val="0"/>
        <w:adjustRightInd/>
        <w:snapToGrid/>
      </w:pPr>
      <w:r>
        <w:rPr>
          <w:rFonts w:hint="eastAsia"/>
        </w:rPr>
        <w:t>【纳税人注意事项】</w:t>
      </w:r>
    </w:p>
    <w:p w:rsidR="00B43696" w:rsidRDefault="00722CAA">
      <w:pPr>
        <w:wordWrap w:val="0"/>
        <w:spacing w:line="360" w:lineRule="auto"/>
        <w:ind w:firstLineChars="200" w:firstLine="480"/>
        <w:rPr>
          <w:rFonts w:ascii="宋体" w:eastAsia="宋体" w:hAnsi="宋体"/>
          <w:sz w:val="24"/>
          <w:szCs w:val="24"/>
        </w:rPr>
      </w:pPr>
      <w:bookmarkStart w:id="3" w:name="_Hlk15899721"/>
      <w:r>
        <w:rPr>
          <w:rFonts w:ascii="Times New Roman" w:eastAsia="宋体" w:hAnsi="Times New Roman"/>
          <w:sz w:val="24"/>
          <w:szCs w:val="24"/>
        </w:rPr>
        <w:t>1.</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纳税人应按照税收法律、行政法规规定和税务机关确定的申报期限、申报内容按期进行相关税种的纳税申报。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Times New Roman" w:eastAsia="宋体" w:hAnsi="Times New Roman"/>
          <w:sz w:val="24"/>
          <w:szCs w:val="24"/>
        </w:rPr>
        <w:t>.</w:t>
      </w:r>
      <w:r>
        <w:rPr>
          <w:rFonts w:ascii="宋体" w:eastAsia="宋体" w:hAnsi="宋体"/>
          <w:sz w:val="24"/>
          <w:szCs w:val="24"/>
        </w:rPr>
        <w:t>纳税人可通过与税务机关、开户银行签订银税三方</w:t>
      </w:r>
      <w:bookmarkStart w:id="4" w:name="_Hlk12873634"/>
      <w:r>
        <w:rPr>
          <w:rFonts w:ascii="宋体" w:eastAsia="宋体" w:hAnsi="宋体"/>
          <w:sz w:val="24"/>
          <w:szCs w:val="24"/>
        </w:rPr>
        <w:t>（委托）划缴协议</w:t>
      </w:r>
      <w:bookmarkEnd w:id="4"/>
      <w:r>
        <w:rPr>
          <w:rFonts w:ascii="宋体" w:eastAsia="宋体" w:hAnsi="宋体"/>
          <w:sz w:val="24"/>
          <w:szCs w:val="24"/>
        </w:rPr>
        <w:t>，开通委托划缴税款业务，实现税款的快速划缴、高效对账和跟踪查询。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Times New Roman" w:eastAsia="宋体" w:hAnsi="Times New Roman"/>
          <w:sz w:val="24"/>
          <w:szCs w:val="24"/>
        </w:rPr>
        <w:t>.</w:t>
      </w:r>
      <w:r>
        <w:rPr>
          <w:rFonts w:ascii="宋体" w:eastAsia="宋体" w:hAnsi="宋体"/>
          <w:sz w:val="24"/>
          <w:szCs w:val="24"/>
        </w:rPr>
        <w:t>纳税人采用新办纳税人“套餐式”服务的，可一并办理以下涉税事项：电子税务局开户、登记信息确认、财务会计制度及核算软件备案、纳税人存款账户账号报告、增值税一般纳税人登记、发票票种核定、增值税专用发票最高开票限额审批、实名办税、增值税税控系统专用设备初始发行、发票领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Times New Roman" w:eastAsia="宋体" w:hAnsi="Times New Roman"/>
          <w:sz w:val="24"/>
          <w:szCs w:val="24"/>
        </w:rPr>
        <w:t>.</w:t>
      </w:r>
      <w:r>
        <w:rPr>
          <w:rFonts w:ascii="宋体" w:eastAsia="宋体" w:hAnsi="宋体"/>
          <w:sz w:val="24"/>
          <w:szCs w:val="24"/>
        </w:rPr>
        <w:t>新设立登记的企业、农民专业合作社完成一照一码户登记信息确认后，其加载统一社会信用代码的营业执照</w:t>
      </w:r>
      <w:bookmarkStart w:id="5" w:name="_Hlk16178208"/>
      <w:r>
        <w:rPr>
          <w:rFonts w:ascii="宋体" w:eastAsia="宋体" w:hAnsi="宋体"/>
          <w:sz w:val="24"/>
          <w:szCs w:val="24"/>
        </w:rPr>
        <w:t>可代替税务登记证使用</w:t>
      </w:r>
      <w:bookmarkEnd w:id="5"/>
      <w:r>
        <w:rPr>
          <w:rFonts w:ascii="宋体" w:eastAsia="宋体" w:hAnsi="宋体"/>
          <w:sz w:val="24"/>
          <w:szCs w:val="24"/>
        </w:rPr>
        <w:t>，不再另行发放税务登记证件。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税务部门与民政部门之间能够建立省级统一的信用信息共享交换平台、政务信息平台、部门间数据接口并实现登记信息实时传递的，已取得统一社会信用代码的社会组织纳税人（社会团体、基金会、民办非企业单位）完成一照一码户登</w:t>
      </w:r>
      <w:r>
        <w:rPr>
          <w:rFonts w:ascii="宋体" w:eastAsia="宋体" w:hAnsi="宋体"/>
          <w:sz w:val="24"/>
          <w:szCs w:val="24"/>
        </w:rPr>
        <w:lastRenderedPageBreak/>
        <w:t>记信息确认后，税务机关对标注统一社会信用代码的社会组织法人登记证赋予税务登记证的全部功能，不再另行发放税务登记证件。</w:t>
      </w:r>
    </w:p>
    <w:p w:rsidR="00621AA5" w:rsidRDefault="00621AA5" w:rsidP="00621AA5">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税务机关提供“最多跑一次”服务。纳税人在资料完整且符合法定受理条件的前提下，最多只需要到税务机关跑一次。</w:t>
      </w:r>
    </w:p>
    <w:p w:rsidR="00621AA5" w:rsidRDefault="00621AA5">
      <w:pPr>
        <w:wordWrap w:val="0"/>
        <w:spacing w:line="360" w:lineRule="auto"/>
        <w:ind w:firstLineChars="200" w:firstLine="480"/>
        <w:rPr>
          <w:rFonts w:ascii="宋体" w:eastAsia="宋体" w:hAnsi="宋体" w:hint="eastAsia"/>
          <w:sz w:val="24"/>
          <w:szCs w:val="24"/>
        </w:rPr>
      </w:pPr>
    </w:p>
    <w:bookmarkEnd w:id="3"/>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2</w:t>
      </w:r>
      <w:r w:rsidR="006927C8">
        <w:t>.</w:t>
      </w:r>
      <w:r>
        <w:rPr>
          <w:rFonts w:hint="eastAsia"/>
        </w:rPr>
        <w:t xml:space="preserve">　</w:t>
      </w:r>
      <w:bookmarkStart w:id="6" w:name="_Hlk15894536"/>
      <w:bookmarkStart w:id="7" w:name="_Hlk16068339"/>
      <w:r>
        <w:rPr>
          <w:rFonts w:ascii="黑体" w:hAnsi="黑体" w:hint="eastAsia"/>
        </w:rPr>
        <w:t>两证整合个体工商户登记</w:t>
      </w:r>
      <w:bookmarkEnd w:id="6"/>
      <w:r>
        <w:rPr>
          <w:rFonts w:ascii="黑体" w:hAnsi="黑体" w:hint="eastAsia"/>
        </w:rPr>
        <w:t>信息确认</w:t>
      </w:r>
      <w:bookmarkEnd w:id="7"/>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两证整合个体工商户登记信息确认</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已实行“两证整合”登记模式的纳税人，首次办理涉税事宜时，对税务机关依据外部信息交换系统获取的登记表单信息及其他税务管理信息进行确认</w:t>
      </w:r>
      <w:r>
        <w:rPr>
          <w:rFonts w:ascii="宋体" w:eastAsia="宋体" w:hAnsi="宋体"/>
          <w:bCs w:val="0"/>
        </w:rPr>
        <w:t>。</w:t>
      </w:r>
    </w:p>
    <w:p w:rsidR="00B43696" w:rsidRDefault="00722CAA">
      <w:pPr>
        <w:wordWrap w:val="0"/>
        <w:spacing w:line="360" w:lineRule="auto"/>
        <w:ind w:firstLineChars="200" w:firstLine="480"/>
        <w:rPr>
          <w:rFonts w:eastAsia="黑体"/>
          <w:sz w:val="24"/>
        </w:rPr>
      </w:pPr>
      <w:r>
        <w:rPr>
          <w:rFonts w:eastAsia="黑体" w:hint="eastAsia"/>
          <w:sz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1.《中华人民共和国税收征收管理法》第十五条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3.《税务登记管理办法》（国家税务总局令第7号公布，国家税务总局令第36号、第44号、第48号修改）第一章</w:t>
      </w:r>
    </w:p>
    <w:p w:rsidR="00B43696" w:rsidRDefault="00722CAA">
      <w:pPr>
        <w:pStyle w:val="af5"/>
        <w:wordWrap w:val="0"/>
        <w:adjustRightInd/>
        <w:snapToGrid/>
      </w:pPr>
      <w:r>
        <w:rPr>
          <w:rFonts w:hint="eastAsia"/>
        </w:rPr>
        <w:t>【办理材料】</w:t>
      </w:r>
    </w:p>
    <w:p w:rsidR="00B43696" w:rsidRDefault="00722CAA">
      <w:pPr>
        <w:pStyle w:val="af5"/>
        <w:wordWrap w:val="0"/>
        <w:adjustRightInd/>
        <w:snapToGrid/>
        <w:rPr>
          <w:rFonts w:ascii="宋体" w:eastAsia="宋体" w:hAnsi="宋体"/>
          <w:bCs w:val="0"/>
        </w:rPr>
      </w:pPr>
      <w:bookmarkStart w:id="8" w:name="_Hlk15899683"/>
      <w:r>
        <w:rPr>
          <w:rFonts w:ascii="宋体" w:eastAsia="宋体" w:hAnsi="宋体" w:hint="eastAsia"/>
          <w:bCs w:val="0"/>
        </w:rPr>
        <w:t>两证整合个体工商户办理登记信息确认无需提供材料。</w:t>
      </w:r>
    </w:p>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lastRenderedPageBreak/>
        <w:t>主管税务机关对外公开的联系电话，可点击下列链接通过办税地图获取：</w:t>
      </w:r>
      <w:hyperlink r:id="rId10"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wordWrap w:val="0"/>
        <w:ind w:firstLineChars="200" w:firstLine="420"/>
      </w:pPr>
      <w:r>
        <w:rPr>
          <w:rFonts w:ascii="宋体" w:hAnsi="宋体"/>
          <w:noProof/>
        </w:rPr>
        <w:drawing>
          <wp:inline distT="0" distB="0" distL="114300" distR="114300">
            <wp:extent cx="5184140" cy="1697355"/>
            <wp:effectExtent l="0" t="0" r="12700" b="0"/>
            <wp:docPr id="2" name="图片 141" descr="两证整合个体工商户登记信息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1" descr="两证整合个体工商户登记信息确认"/>
                    <pic:cNvPicPr>
                      <a:picLocks noChangeAspect="1"/>
                    </pic:cNvPicPr>
                  </pic:nvPicPr>
                  <pic:blipFill>
                    <a:blip r:embed="rId11" cstate="print"/>
                    <a:stretch>
                      <a:fillRect/>
                    </a:stretch>
                  </pic:blipFill>
                  <pic:spPr>
                    <a:xfrm>
                      <a:off x="0" y="0"/>
                      <a:ext cx="5184140" cy="1697355"/>
                    </a:xfrm>
                    <a:prstGeom prst="rect">
                      <a:avLst/>
                    </a:prstGeom>
                    <a:noFill/>
                    <a:ln>
                      <a:noFill/>
                    </a:ln>
                  </pic:spPr>
                </pic:pic>
              </a:graphicData>
            </a:graphic>
          </wp:inline>
        </w:drawing>
      </w:r>
    </w:p>
    <w:p w:rsidR="00B43696" w:rsidRDefault="00722CAA">
      <w:pPr>
        <w:pStyle w:val="af5"/>
        <w:wordWrap w:val="0"/>
        <w:adjustRightInd/>
        <w:snapToGrid/>
      </w:pPr>
      <w:bookmarkStart w:id="9" w:name="_Hlk15899704"/>
      <w:bookmarkEnd w:id="8"/>
      <w:r>
        <w:rPr>
          <w:rFonts w:hint="eastAsia"/>
        </w:rPr>
        <w:t>【纳税人注意事项】</w:t>
      </w:r>
    </w:p>
    <w:bookmarkEnd w:id="9"/>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w:t>
      </w:r>
      <w:bookmarkStart w:id="10" w:name="_Hlk16340550"/>
      <w:r>
        <w:rPr>
          <w:rFonts w:ascii="Times New Roman" w:eastAsia="宋体" w:hAnsi="Times New Roman"/>
          <w:sz w:val="24"/>
          <w:szCs w:val="24"/>
        </w:rPr>
        <w:t>.</w:t>
      </w:r>
      <w:r>
        <w:rPr>
          <w:rFonts w:ascii="宋体" w:eastAsia="宋体" w:hAnsi="宋体"/>
          <w:sz w:val="24"/>
          <w:szCs w:val="24"/>
        </w:rPr>
        <w:t>纳税人使用符合电子签名法规定条件的电子签名，与手写签名或者盖章具有同等法律效力。</w:t>
      </w:r>
    </w:p>
    <w:bookmarkEnd w:id="10"/>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纳税人应按照税收法律、行政法规规定和税务机关确定的申报期限、申报内容按期进行相关税种的纳税申报。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3.</w:t>
      </w:r>
      <w:r>
        <w:rPr>
          <w:rFonts w:ascii="宋体" w:eastAsia="宋体" w:hAnsi="宋体"/>
          <w:sz w:val="24"/>
          <w:szCs w:val="24"/>
        </w:rPr>
        <w:t>纳税人采用新办纳税人“套餐式”服务的，可一并办理以下涉税事项：电子税务局开户、登记信息确认、增值税一般纳税人登记、发票票种核定、增值税专用发票最高开票限额审批、实名办税、增值税税控系统专用设备初始发行、发票领用等事项。</w:t>
      </w:r>
    </w:p>
    <w:p w:rsid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4</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621AA5" w:rsidRPr="00621AA5" w:rsidRDefault="00621AA5">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3</w:t>
      </w:r>
      <w:r w:rsidR="006927C8">
        <w:t>.</w:t>
      </w:r>
      <w:r>
        <w:rPr>
          <w:rFonts w:hint="eastAsia"/>
        </w:rPr>
        <w:t xml:space="preserve">　</w:t>
      </w:r>
      <w:r>
        <w:rPr>
          <w:rFonts w:ascii="黑体" w:hAnsi="黑体" w:hint="eastAsia"/>
        </w:rPr>
        <w:t>一照一码户信息变更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一照一码户市场监管等部门登记信息发生变更的，向市场监管等部门申报办理变更登记。</w:t>
      </w:r>
      <w:r>
        <w:rPr>
          <w:rFonts w:ascii="宋体" w:eastAsia="宋体" w:hAnsi="宋体"/>
          <w:sz w:val="24"/>
          <w:szCs w:val="24"/>
        </w:rPr>
        <w:t>税务</w:t>
      </w:r>
      <w:r>
        <w:rPr>
          <w:rFonts w:ascii="宋体" w:eastAsia="宋体" w:hAnsi="宋体" w:hint="eastAsia"/>
          <w:sz w:val="24"/>
          <w:szCs w:val="24"/>
        </w:rPr>
        <w:t>机关</w:t>
      </w:r>
      <w:r>
        <w:rPr>
          <w:rFonts w:ascii="宋体" w:eastAsia="宋体" w:hAnsi="宋体"/>
          <w:sz w:val="24"/>
          <w:szCs w:val="24"/>
        </w:rPr>
        <w:t>接收市场</w:t>
      </w:r>
      <w:r>
        <w:rPr>
          <w:rFonts w:ascii="宋体" w:eastAsia="宋体" w:hAnsi="宋体" w:hint="eastAsia"/>
          <w:sz w:val="24"/>
          <w:szCs w:val="24"/>
        </w:rPr>
        <w:t>监管等</w:t>
      </w:r>
      <w:r>
        <w:rPr>
          <w:rFonts w:ascii="宋体" w:eastAsia="宋体" w:hAnsi="宋体"/>
          <w:sz w:val="24"/>
          <w:szCs w:val="24"/>
        </w:rPr>
        <w:t>部门变更信息，经</w:t>
      </w:r>
      <w:r>
        <w:rPr>
          <w:rFonts w:ascii="宋体" w:eastAsia="宋体" w:hAnsi="宋体" w:hint="eastAsia"/>
          <w:sz w:val="24"/>
          <w:szCs w:val="24"/>
        </w:rPr>
        <w:t>纳税人</w:t>
      </w:r>
      <w:r>
        <w:rPr>
          <w:rFonts w:ascii="宋体" w:eastAsia="宋体" w:hAnsi="宋体"/>
          <w:sz w:val="24"/>
          <w:szCs w:val="24"/>
        </w:rPr>
        <w:t>确认后更新系统内</w:t>
      </w:r>
      <w:r>
        <w:rPr>
          <w:rFonts w:ascii="宋体" w:eastAsia="宋体" w:hAnsi="宋体" w:hint="eastAsia"/>
          <w:sz w:val="24"/>
          <w:szCs w:val="24"/>
        </w:rPr>
        <w:t>的</w:t>
      </w:r>
      <w:r>
        <w:rPr>
          <w:rFonts w:ascii="宋体" w:eastAsia="宋体" w:hAnsi="宋体"/>
          <w:sz w:val="24"/>
          <w:szCs w:val="24"/>
        </w:rPr>
        <w:t>对应信息。</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一照一码户生产经营地、财务负责人等非市场监管等部门登记信息发生变化时，向主管税务机</w:t>
      </w:r>
      <w:r>
        <w:rPr>
          <w:rFonts w:ascii="宋体" w:eastAsia="宋体" w:hAnsi="宋体"/>
          <w:sz w:val="24"/>
          <w:szCs w:val="24"/>
        </w:rPr>
        <w:t>关申报</w:t>
      </w:r>
      <w:r>
        <w:rPr>
          <w:rFonts w:ascii="宋体" w:eastAsia="宋体" w:hAnsi="宋体" w:hint="eastAsia"/>
          <w:sz w:val="24"/>
          <w:szCs w:val="24"/>
        </w:rPr>
        <w:t>办理</w:t>
      </w:r>
      <w:r>
        <w:rPr>
          <w:rFonts w:ascii="宋体" w:eastAsia="宋体" w:hAnsi="宋体"/>
          <w:sz w:val="24"/>
          <w:szCs w:val="24"/>
        </w:rPr>
        <w:t>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1.《中华人民共和国税收征收管理法》第十六条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2.《中华人民共和国税收征收管理法实施细则》第十四条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3.《税务登记管理办法》（国家税务总局令第7号公布，国家税务总局令第36号、第44号、第48号修改）第二章</w:t>
      </w:r>
    </w:p>
    <w:p w:rsidR="00B43696" w:rsidRDefault="00722CAA">
      <w:pPr>
        <w:pStyle w:val="af5"/>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bookmarkStart w:id="11" w:name="_Hlk15899179"/>
            <w:r>
              <w:rPr>
                <w:rFonts w:ascii="黑体" w:eastAsia="黑体" w:hAnsi="黑体" w:hint="eastAsia"/>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bookmarkEnd w:id="11"/>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B43696">
        <w:trPr>
          <w:trHeight w:hRule="exact" w:val="425"/>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425"/>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96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12" w:name="_Hlk15900986"/>
            <w:r>
              <w:rPr>
                <w:rFonts w:ascii="黑体" w:eastAsia="黑体" w:hAnsi="黑体" w:cs="Microsoft Himalaya" w:hint="eastAsia"/>
                <w:sz w:val="18"/>
                <w:szCs w:val="18"/>
              </w:rPr>
              <w:t>非市场监管等部门登记</w:t>
            </w:r>
            <w:bookmarkEnd w:id="12"/>
            <w:r>
              <w:rPr>
                <w:rFonts w:ascii="黑体" w:eastAsia="黑体" w:hAnsi="黑体" w:cs="Microsoft Himalaya" w:hint="eastAsia"/>
                <w:sz w:val="18"/>
                <w:szCs w:val="18"/>
              </w:rPr>
              <w:t>信息发生变化</w:t>
            </w:r>
          </w:p>
        </w:tc>
        <w:tc>
          <w:tcPr>
            <w:tcW w:w="28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13" w:name="_Hlk12986794"/>
            <w:r>
              <w:rPr>
                <w:rFonts w:ascii="黑体" w:eastAsia="黑体" w:hAnsi="黑体" w:cs="Microsoft Himalaya" w:hint="eastAsia"/>
                <w:sz w:val="18"/>
                <w:szCs w:val="18"/>
              </w:rPr>
              <w:t>变更信息的有关材料复印件</w:t>
            </w:r>
            <w:bookmarkEnd w:id="13"/>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1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lastRenderedPageBreak/>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此事项可同城通办。</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t>主管税务机关对外公开的联系电话，可点击下列链接通过办税地图获取：</w:t>
      </w:r>
      <w:hyperlink r:id="rId13"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wordWrap w:val="0"/>
        <w:ind w:firstLineChars="200" w:firstLine="420"/>
      </w:pPr>
      <w:r>
        <w:rPr>
          <w:noProof/>
        </w:rPr>
        <w:drawing>
          <wp:inline distT="0" distB="0" distL="114300" distR="114300">
            <wp:extent cx="5184140" cy="1765935"/>
            <wp:effectExtent l="0" t="0" r="12700" b="0"/>
            <wp:docPr id="3" name="图片 14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 name="图片 142"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pStyle w:val="af5"/>
        <w:wordWrap w:val="0"/>
        <w:adjustRightInd/>
        <w:snapToGrid/>
      </w:pPr>
      <w:r>
        <w:rPr>
          <w:rFonts w:hint="eastAsia"/>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bCs/>
          <w:sz w:val="24"/>
          <w:szCs w:val="24"/>
        </w:rPr>
        <w:t>3.</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bookmarkStart w:id="14" w:name="_Hlk16352729"/>
      <w:r>
        <w:rPr>
          <w:rFonts w:ascii="Times New Roman" w:eastAsia="宋体" w:hAnsi="Times New Roman"/>
          <w:bCs/>
          <w:sz w:val="24"/>
          <w:szCs w:val="24"/>
        </w:rPr>
        <w:t>4.</w:t>
      </w:r>
      <w:bookmarkEnd w:id="14"/>
      <w:r>
        <w:rPr>
          <w:rFonts w:ascii="宋体" w:eastAsia="宋体" w:hAnsi="宋体"/>
          <w:sz w:val="24"/>
          <w:szCs w:val="24"/>
        </w:rPr>
        <w:t>被调查企业在税务机关实施特别纳税调查调整期间，申请变更经营地址的，税务机关在调查结案前原则上不予办理变更手续。</w:t>
      </w:r>
    </w:p>
    <w:p w:rsidR="00B43696" w:rsidRP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pStyle w:val="3sunshine"/>
        <w:keepNext w:val="0"/>
        <w:wordWrap w:val="0"/>
        <w:topLinePunct w:val="0"/>
        <w:adjustRightInd/>
        <w:snapToGrid/>
        <w:spacing w:before="332" w:after="332"/>
      </w:pPr>
      <w:r>
        <w:rPr>
          <w:rFonts w:hint="eastAsia"/>
        </w:rPr>
        <w:lastRenderedPageBreak/>
        <w:t>4</w:t>
      </w:r>
      <w:r w:rsidR="006927C8">
        <w:t>.</w:t>
      </w:r>
      <w:r>
        <w:rPr>
          <w:rFonts w:hint="eastAsia"/>
        </w:rPr>
        <w:t xml:space="preserve">　</w:t>
      </w:r>
      <w:r>
        <w:rPr>
          <w:rFonts w:ascii="黑体" w:hAnsi="黑体" w:hint="eastAsia"/>
        </w:rPr>
        <w:t>两证整合个体工商户信息变更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两证整合个体工商户信息变更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两证整合个体工商户信息发生变化的，应向市场监督管理部门申报信息变更，</w:t>
      </w:r>
      <w:r>
        <w:rPr>
          <w:rFonts w:ascii="宋体" w:eastAsia="宋体" w:hAnsi="宋体"/>
          <w:sz w:val="24"/>
          <w:szCs w:val="24"/>
        </w:rPr>
        <w:t>税务</w:t>
      </w:r>
      <w:r>
        <w:rPr>
          <w:rFonts w:ascii="宋体" w:eastAsia="宋体" w:hAnsi="宋体" w:hint="eastAsia"/>
          <w:sz w:val="24"/>
          <w:szCs w:val="24"/>
        </w:rPr>
        <w:t>机关</w:t>
      </w:r>
      <w:r>
        <w:rPr>
          <w:rFonts w:ascii="宋体" w:eastAsia="宋体" w:hAnsi="宋体"/>
          <w:sz w:val="24"/>
          <w:szCs w:val="24"/>
        </w:rPr>
        <w:t>接收市场</w:t>
      </w:r>
      <w:r>
        <w:rPr>
          <w:rFonts w:ascii="宋体" w:eastAsia="宋体" w:hAnsi="宋体" w:hint="eastAsia"/>
          <w:sz w:val="24"/>
          <w:szCs w:val="24"/>
        </w:rPr>
        <w:t>监督管理</w:t>
      </w:r>
      <w:r>
        <w:rPr>
          <w:rFonts w:ascii="宋体" w:eastAsia="宋体" w:hAnsi="宋体"/>
          <w:sz w:val="24"/>
          <w:szCs w:val="24"/>
        </w:rPr>
        <w:t>部门变更信息，经</w:t>
      </w:r>
      <w:r>
        <w:rPr>
          <w:rFonts w:ascii="宋体" w:eastAsia="宋体" w:hAnsi="宋体" w:hint="eastAsia"/>
          <w:sz w:val="24"/>
          <w:szCs w:val="24"/>
        </w:rPr>
        <w:t>纳税人</w:t>
      </w:r>
      <w:r>
        <w:rPr>
          <w:rFonts w:ascii="宋体" w:eastAsia="宋体" w:hAnsi="宋体"/>
          <w:sz w:val="24"/>
          <w:szCs w:val="24"/>
        </w:rPr>
        <w:t>确认后更新系统内</w:t>
      </w:r>
      <w:r>
        <w:rPr>
          <w:rFonts w:ascii="宋体" w:eastAsia="宋体" w:hAnsi="宋体" w:hint="eastAsia"/>
          <w:sz w:val="24"/>
          <w:szCs w:val="24"/>
        </w:rPr>
        <w:t>的</w:t>
      </w:r>
      <w:r>
        <w:rPr>
          <w:rFonts w:ascii="宋体" w:eastAsia="宋体" w:hAnsi="宋体"/>
          <w:sz w:val="24"/>
          <w:szCs w:val="24"/>
        </w:rPr>
        <w:t>对应信息</w:t>
      </w:r>
      <w:r>
        <w:rPr>
          <w:rFonts w:ascii="宋体" w:eastAsia="宋体" w:hAnsi="宋体" w:hint="eastAsia"/>
          <w:sz w:val="24"/>
          <w:szCs w:val="24"/>
        </w:rPr>
        <w:t>；经纳税人申请，也可由税务机关发起变更。其中，纳税人名称、纳税人识别号、业主姓名、经营范围不能由税务机关发起。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1.《中华人民共和国税收征收管理法》第十六条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2.《中华人民共和国税收征收管理法实施细则》第十四条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3.《税务登记管理办法》（国家税务总局令第7号公布，国家税务总局令第36号、第44号、第48号修改）第二章</w:t>
      </w:r>
    </w:p>
    <w:p w:rsidR="00B43696" w:rsidRDefault="00722CAA">
      <w:pPr>
        <w:pStyle w:val="af5"/>
        <w:wordWrap w:val="0"/>
        <w:adjustRightInd/>
        <w:snapToGrid/>
      </w:pPr>
      <w:r>
        <w:rPr>
          <w:rFonts w:hint="eastAsia"/>
        </w:rPr>
        <w:t>【办理材料】</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两证整合个体工商户</w:t>
      </w:r>
      <w:r>
        <w:rPr>
          <w:rFonts w:ascii="宋体" w:eastAsia="宋体" w:hAnsi="宋体" w:hint="eastAsia"/>
          <w:sz w:val="24"/>
          <w:szCs w:val="24"/>
        </w:rPr>
        <w:t>信息</w:t>
      </w:r>
      <w:r>
        <w:rPr>
          <w:rFonts w:ascii="宋体" w:eastAsia="宋体" w:hAnsi="宋体"/>
          <w:sz w:val="24"/>
          <w:szCs w:val="24"/>
        </w:rPr>
        <w:t>变更无需提供材料</w:t>
      </w:r>
      <w:r>
        <w:rPr>
          <w:rFonts w:ascii="宋体" w:eastAsia="宋体" w:hAnsi="宋体" w:hint="eastAsia"/>
          <w:sz w:val="24"/>
          <w:szCs w:val="24"/>
        </w:rPr>
        <w:t>。</w:t>
      </w:r>
    </w:p>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1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此事项可同城通办。</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lastRenderedPageBreak/>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t>主管税务机关对外公开的联系电话，可点击下列链接通过办税地图获取：</w:t>
      </w:r>
      <w:hyperlink r:id="rId16"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wordWrap w:val="0"/>
        <w:ind w:firstLineChars="200" w:firstLine="420"/>
      </w:pPr>
      <w:r>
        <w:rPr>
          <w:noProof/>
        </w:rPr>
        <w:drawing>
          <wp:inline distT="0" distB="0" distL="114300" distR="114300">
            <wp:extent cx="5184140" cy="1579880"/>
            <wp:effectExtent l="0" t="0" r="12700" b="0"/>
            <wp:docPr id="4" name="图片 143"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4" name="图片 143" descr="C:\Users\baoqianyu\Desktop\流程图\一照一码户登记信息确认.png一照一码户登记信息确认"/>
                    <pic:cNvPicPr/>
                  </pic:nvPicPr>
                  <pic:blipFill>
                    <a:blip r:embed="rId8" cstate="print"/>
                    <a:stretch>
                      <a:fillRect/>
                    </a:stretch>
                  </pic:blipFill>
                  <pic:spPr>
                    <a:xfrm>
                      <a:off x="0" y="0"/>
                      <a:ext cx="5184140" cy="1579880"/>
                    </a:xfrm>
                    <a:prstGeom prst="rect">
                      <a:avLst/>
                    </a:prstGeom>
                    <a:noFill/>
                    <a:ln>
                      <a:noFill/>
                    </a:ln>
                  </pic:spPr>
                </pic:pic>
              </a:graphicData>
            </a:graphic>
          </wp:inline>
        </w:drawing>
      </w:r>
    </w:p>
    <w:p w:rsidR="00621AA5" w:rsidRDefault="00621AA5" w:rsidP="00621AA5">
      <w:pPr>
        <w:pStyle w:val="af5"/>
        <w:wordWrap w:val="0"/>
        <w:adjustRightInd/>
        <w:snapToGrid/>
      </w:pPr>
      <w:r>
        <w:rPr>
          <w:rFonts w:hint="eastAsia"/>
        </w:rPr>
        <w:t>【纳税人注意事项】</w:t>
      </w:r>
    </w:p>
    <w:p w:rsid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w:t>
      </w:r>
      <w:r>
        <w:rPr>
          <w:rFonts w:ascii="宋体" w:eastAsia="宋体" w:hAnsi="宋体"/>
          <w:sz w:val="24"/>
          <w:szCs w:val="24"/>
        </w:rPr>
        <w:t>纳税人对报送材料的真实性和合法性承担责任。</w:t>
      </w:r>
    </w:p>
    <w:p w:rsid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纳税人使用符合电子签名法规定条件的电子签名，与手写签名或者盖章具有同等法律效力。</w:t>
      </w:r>
    </w:p>
    <w:p w:rsid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bCs/>
          <w:sz w:val="24"/>
          <w:szCs w:val="24"/>
        </w:rPr>
        <w:t>3.</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bCs/>
          <w:sz w:val="24"/>
          <w:szCs w:val="24"/>
        </w:rPr>
        <w:t>4.</w:t>
      </w:r>
      <w:r>
        <w:rPr>
          <w:rFonts w:ascii="宋体" w:eastAsia="宋体" w:hAnsi="宋体"/>
          <w:sz w:val="24"/>
          <w:szCs w:val="24"/>
        </w:rPr>
        <w:t>被调查企业在税务机关实施特别纳税调查调整期间，申请变更经营地址的，税务机关在调查结案前原则上不予办理变更手续。</w:t>
      </w:r>
    </w:p>
    <w:p w:rsidR="00621AA5" w:rsidRP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621AA5" w:rsidRPr="00621AA5" w:rsidRDefault="00621AA5">
      <w:pPr>
        <w:wordWrap w:val="0"/>
        <w:ind w:firstLineChars="200" w:firstLine="420"/>
        <w:rPr>
          <w:rFonts w:hint="eastAsia"/>
        </w:rPr>
      </w:pPr>
    </w:p>
    <w:p w:rsidR="00621AA5" w:rsidRPr="00621AA5" w:rsidRDefault="00722CAA" w:rsidP="00621AA5">
      <w:pPr>
        <w:pStyle w:val="af5"/>
        <w:wordWrap w:val="0"/>
        <w:adjustRightInd/>
        <w:snapToGrid/>
        <w:rPr>
          <w:rFonts w:ascii="宋体" w:eastAsia="宋体" w:hAnsi="宋体" w:hint="eastAsia"/>
        </w:rPr>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5</w:t>
      </w:r>
      <w:r w:rsidR="006927C8">
        <w:t>.</w:t>
      </w:r>
      <w:r>
        <w:rPr>
          <w:rFonts w:hint="eastAsia"/>
        </w:rPr>
        <w:t xml:space="preserve">　</w:t>
      </w:r>
      <w:r>
        <w:rPr>
          <w:rFonts w:ascii="黑体" w:hAnsi="黑体" w:hint="eastAsia"/>
        </w:rPr>
        <w:t>纳税人（扣缴义务人）身份信息报告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纳税人（扣缴义务人）身份信息报告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不</w:t>
      </w:r>
      <w:bookmarkStart w:id="15" w:name="_Hlk15913727"/>
      <w:r>
        <w:rPr>
          <w:rFonts w:ascii="宋体" w:eastAsia="宋体" w:hAnsi="宋体"/>
          <w:sz w:val="24"/>
          <w:szCs w:val="24"/>
        </w:rPr>
        <w:t>适用“一照一码”“两证整合”的纳税人</w:t>
      </w:r>
      <w:bookmarkEnd w:id="15"/>
      <w:r>
        <w:rPr>
          <w:rFonts w:ascii="宋体" w:eastAsia="宋体" w:hAnsi="宋体"/>
          <w:sz w:val="24"/>
          <w:szCs w:val="24"/>
        </w:rPr>
        <w:t>，满足以下情形的纳税人应办理纳税人（扣缴义务人）身份信息报告：</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rPr>
        <w:t>.</w:t>
      </w:r>
      <w:r>
        <w:rPr>
          <w:rFonts w:ascii="Times New Roman" w:eastAsia="宋体" w:hAnsi="Times New Roman" w:hint="eastAsia"/>
          <w:sz w:val="24"/>
          <w:szCs w:val="24"/>
        </w:rPr>
        <w:t>取得统一社会信用代码，但批准部门为除市场监督管理部门之外其他有关部门批准设立的（如社会团体，律师事务所等）。</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因经营地址变更等原因，注销后恢复开业的。</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有独立的生产经营权、在财务上独立核算并定期向发包人或者出租人上交承包费或租金的承包承租人。</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在中华人民共和国境内承包建筑、安装、装配、勘探工程和提供劳务的境外企业。</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从事生产、经营的纳税人，应经有关部门批准设立但未经有关部门批准的。</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非境内注册居民企业收到居民身份认定书的。</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根据税收法律、行政法规的规定负有扣缴税款义务的扣缴义务人，应当办理扣缴税款登记的。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上述纳税人（扣缴义务人）身份信息发生变化的也通过</w:t>
      </w:r>
      <w:r>
        <w:rPr>
          <w:rFonts w:ascii="宋体" w:eastAsia="宋体" w:hAnsi="宋体" w:hint="eastAsia"/>
          <w:sz w:val="24"/>
          <w:szCs w:val="24"/>
        </w:rPr>
        <w:t>本</w:t>
      </w:r>
      <w:r>
        <w:rPr>
          <w:rFonts w:ascii="宋体" w:eastAsia="宋体" w:hAnsi="宋体"/>
          <w:sz w:val="24"/>
          <w:szCs w:val="24"/>
        </w:rPr>
        <w:t>事项办理。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1.《中华人民共和国税收征收管理法实施细则》第十三条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《税务登记管理办法》（国家税务总局令第7号公布，国家税务总局令第36号、第44号、第48号修改）第二条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《国家税务总局关于进一步完善税务登记管理有关问题的公告》（国家税务总局公告2011年第21号）第一条</w:t>
      </w:r>
      <w:r>
        <w:rPr>
          <w:rFonts w:ascii="宋体" w:eastAsia="宋体" w:hAnsi="宋体" w:hint="eastAsia"/>
          <w:sz w:val="24"/>
          <w:szCs w:val="24"/>
        </w:rPr>
        <w:t>、</w:t>
      </w:r>
      <w:r>
        <w:rPr>
          <w:rFonts w:ascii="宋体" w:eastAsia="宋体" w:hAnsi="宋体"/>
          <w:sz w:val="24"/>
          <w:szCs w:val="24"/>
        </w:rPr>
        <w:t>第二条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《纳税人（扣缴义务人）基础信息报告表》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法定代表人（负责人、业主）身份证件原件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Cs w:val="21"/>
              </w:rPr>
            </w:pPr>
            <w:r>
              <w:rPr>
                <w:rFonts w:ascii="黑体" w:eastAsia="黑体" w:hAnsi="黑体" w:cs="Microsoft Himalaya" w:hint="eastAsia"/>
                <w:sz w:val="18"/>
                <w:szCs w:val="18"/>
              </w:rPr>
              <w:t>查验后退回</w:t>
            </w: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37"/>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纳税人（扣缴义务人）身份信息发生</w:t>
            </w:r>
            <w:r>
              <w:rPr>
                <w:rFonts w:ascii="黑体" w:eastAsia="黑体" w:hAnsi="黑体" w:cs="Microsoft Himalaya"/>
                <w:sz w:val="18"/>
                <w:szCs w:val="18"/>
              </w:rPr>
              <w:t>变更</w:t>
            </w:r>
          </w:p>
        </w:tc>
        <w:tc>
          <w:tcPr>
            <w:tcW w:w="28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变更信息的有关资料或证明材料复印件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1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1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b/>
        </w:rPr>
      </w:pPr>
      <w:r>
        <w:rPr>
          <w:noProof/>
        </w:rPr>
        <w:drawing>
          <wp:inline distT="0" distB="0" distL="114300" distR="114300">
            <wp:extent cx="5184140" cy="1724025"/>
            <wp:effectExtent l="0" t="0" r="12700" b="0"/>
            <wp:docPr id="5" name="图片 144"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5" name="图片 144" descr="C:\Users\baoqianyu\Desktop\流程图\即办\纳税人（扣缴义务人）.png纳税人（扣缴义务人）"/>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纳税人、扣缴义务人对报送材料的真实性和合法性承担责任。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bookmarkStart w:id="16" w:name="_Hlk15907853"/>
      <w:r>
        <w:rPr>
          <w:rFonts w:ascii="Times New Roman" w:eastAsia="宋体" w:hAnsi="Times New Roman" w:hint="eastAsia"/>
          <w:sz w:val="24"/>
          <w:szCs w:val="24"/>
        </w:rPr>
        <w:t>3.</w:t>
      </w:r>
      <w:r>
        <w:rPr>
          <w:rFonts w:ascii="宋体" w:eastAsia="宋体" w:hAnsi="宋体"/>
          <w:sz w:val="24"/>
          <w:szCs w:val="24"/>
        </w:rPr>
        <w:t>纳税人、扣缴义务人提供的各项资料为复印件的，均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bookmarkEnd w:id="16"/>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履行个人所得税代扣代缴义务的，以支付所得的单位或者个人为扣缴义务人。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中华人民共和国境外的单位或者个人在境内销售劳务，在境内未设有经营机构的，以其境内代理人为扣缴义务人；在境内没有代理人的，以购买方为扣缴义务人。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中华人民共和国境外单位或个人在境内销售服务、无形资产或者不动产，在境内未设有经营机构的，以购买方为增值税扣缴义务人。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非居民企业在中国境内未设立机构、场所的，或者虽设立机构、场所但取得的所得与其所设机构、场所没有实际联系的，应当就其来源于中国境内的所得缴纳企业所得税，应缴纳的所得税实行源泉扣缴，以支付人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对非居民企业在中国境内取得工程作业和劳务所得应缴纳的所得税，税务机关可以指定工程价款或者劳务费的支付人为扣缴义务人。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中华人民共和国境外的广告媒介单位和户外广告经营单位在境内提供广告服务，在境内未设有经营机构的，以广告服务接受方为文化事业建设费的扣缴义务人。</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扣缴义务人与非居民企业首次签订与其取得来源于中华人民共和国境内的股息、红利等权益性投资收益和利息、租金、特许权使用费所得、转让财产所得以及其他所得有关的业务合同或协议的，扣缴义务人应当自合同签订之日起</w:t>
      </w:r>
      <w:r>
        <w:rPr>
          <w:rFonts w:ascii="Times New Roman" w:eastAsia="宋体" w:hAnsi="Times New Roman" w:hint="eastAsia"/>
          <w:sz w:val="24"/>
          <w:szCs w:val="24"/>
        </w:rPr>
        <w:t>30</w:t>
      </w:r>
      <w:r>
        <w:rPr>
          <w:rFonts w:ascii="宋体" w:eastAsia="宋体" w:hAnsi="宋体"/>
          <w:sz w:val="24"/>
          <w:szCs w:val="24"/>
        </w:rPr>
        <w:t>日内，向税务机关办理“纳税人（扣缴义务人）身份信息报告”。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注册中资控股居民企业应履行居民企业所得税纳税义务，应当自扣缴义务发生之日起</w:t>
      </w:r>
      <w:r>
        <w:rPr>
          <w:rFonts w:ascii="Times New Roman" w:eastAsia="宋体" w:hAnsi="Times New Roman" w:hint="eastAsia"/>
          <w:sz w:val="24"/>
          <w:szCs w:val="24"/>
        </w:rPr>
        <w:t>30</w:t>
      </w:r>
      <w:r>
        <w:rPr>
          <w:rFonts w:ascii="宋体" w:eastAsia="宋体" w:hAnsi="宋体"/>
          <w:sz w:val="24"/>
          <w:szCs w:val="24"/>
        </w:rPr>
        <w:t>日内向主管税务机关办理“纳税人（扣缴义务人）身份信息报告”。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境外注册中资控股居民企业应当在其中国境内主要投资者登记注册地税务机关办理“纳税人（扣缴义务人）身份信息报告”。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7.</w:t>
      </w:r>
      <w:r>
        <w:rPr>
          <w:rFonts w:ascii="宋体" w:eastAsia="宋体" w:hAnsi="宋体"/>
          <w:sz w:val="24"/>
          <w:szCs w:val="24"/>
        </w:rPr>
        <w:t>境外注册中资控股居民企业应自收到居民身份认定书之日</w:t>
      </w:r>
      <w:r>
        <w:rPr>
          <w:rFonts w:ascii="Times New Roman" w:eastAsia="宋体" w:hAnsi="Times New Roman" w:hint="eastAsia"/>
          <w:sz w:val="24"/>
          <w:szCs w:val="24"/>
        </w:rPr>
        <w:t>30</w:t>
      </w:r>
      <w:r>
        <w:rPr>
          <w:rFonts w:ascii="宋体" w:eastAsia="宋体" w:hAnsi="宋体"/>
          <w:sz w:val="24"/>
          <w:szCs w:val="24"/>
        </w:rPr>
        <w:t>日内向其主管税务机关办理“纳税人（扣缴义务人）身份信息报告”。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有独立的生产经营权、在财务上独立核算并定期向发包人或者出租人上交承包费或租金的承包承租人的，应当自承包承租合同签订之日起</w:t>
      </w:r>
      <w:r>
        <w:rPr>
          <w:rFonts w:ascii="Times New Roman" w:eastAsia="宋体" w:hAnsi="Times New Roman" w:hint="eastAsia"/>
          <w:sz w:val="24"/>
          <w:szCs w:val="24"/>
        </w:rPr>
        <w:t>30</w:t>
      </w:r>
      <w:r>
        <w:rPr>
          <w:rFonts w:ascii="宋体" w:eastAsia="宋体" w:hAnsi="宋体"/>
          <w:sz w:val="24"/>
          <w:szCs w:val="24"/>
        </w:rPr>
        <w:t>日内，向承包承租业务发生地税务机关办理“纳税人（扣缴义务人）身份信息报告”。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境外企业在中国境内承包建筑、安装、装配、勘探工程和提供劳务的，应当自项目合同或协议签订之日起</w:t>
      </w:r>
      <w:r>
        <w:rPr>
          <w:rFonts w:ascii="Times New Roman" w:eastAsia="宋体" w:hAnsi="Times New Roman" w:hint="eastAsia"/>
          <w:sz w:val="24"/>
          <w:szCs w:val="24"/>
        </w:rPr>
        <w:t>30</w:t>
      </w:r>
      <w:r>
        <w:rPr>
          <w:rFonts w:ascii="宋体" w:eastAsia="宋体" w:hAnsi="宋体"/>
          <w:sz w:val="24"/>
          <w:szCs w:val="24"/>
        </w:rPr>
        <w:t>日内向项目所在地税务机关办理“纳税人（扣缴义务人）身份信息报告”。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从事生产、经营的纳税人，应经有关部门批准设立但未经有关部门批准的，应当自纳税义务发生之日起</w:t>
      </w:r>
      <w:r>
        <w:rPr>
          <w:rFonts w:ascii="Times New Roman" w:eastAsia="宋体" w:hAnsi="Times New Roman" w:hint="eastAsia"/>
          <w:sz w:val="24"/>
          <w:szCs w:val="24"/>
        </w:rPr>
        <w:t>30</w:t>
      </w:r>
      <w:r>
        <w:rPr>
          <w:rFonts w:ascii="宋体" w:eastAsia="宋体" w:hAnsi="宋体"/>
          <w:sz w:val="24"/>
          <w:szCs w:val="24"/>
        </w:rPr>
        <w:t>日内向生产、经营所在地税务机关办理“纳税人（扣缴义务人）身份信息报告”。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纳税人（扣缴义务人）应按照税收法律、行政法规规定和税务机关确定的申报期限、申报内容按期进行相关税种的纳税申报。</w:t>
      </w:r>
    </w:p>
    <w:p w:rsidR="00621AA5" w:rsidRP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9</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621AA5" w:rsidRPr="00621AA5" w:rsidRDefault="00621AA5">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6</w:t>
      </w:r>
      <w:r w:rsidR="006927C8">
        <w:t>.</w:t>
      </w:r>
      <w:r>
        <w:rPr>
          <w:rFonts w:hint="eastAsia"/>
        </w:rPr>
        <w:t xml:space="preserve">　</w:t>
      </w:r>
      <w:bookmarkStart w:id="17" w:name="_Hlk15902755"/>
      <w:r>
        <w:rPr>
          <w:rFonts w:ascii="黑体" w:hAnsi="黑体" w:hint="eastAsia"/>
        </w:rPr>
        <w:t>自然人自主报告身份信息</w:t>
      </w:r>
      <w:bookmarkEnd w:id="17"/>
    </w:p>
    <w:p w:rsidR="00B43696" w:rsidRDefault="00722CAA">
      <w:pPr>
        <w:wordWrap w:val="0"/>
        <w:spacing w:line="360" w:lineRule="auto"/>
        <w:ind w:firstLineChars="200" w:firstLine="480"/>
        <w:rPr>
          <w:rFonts w:eastAsia="黑体"/>
          <w:sz w:val="24"/>
        </w:rPr>
      </w:pPr>
      <w:r>
        <w:rPr>
          <w:rFonts w:eastAsia="黑体" w:hint="eastAsia"/>
          <w:sz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自然人自主报告身份信息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以自然人名义纳税的中国公民、华侨、外籍人员和港、澳、台地区人员，可以由本人自主向税务机关报告身份信息</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1.《中华人民共和国税收征收管理法》第三十条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2.《中华人民共和国个人所得税法》第九条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01"/>
        <w:gridCol w:w="3118"/>
        <w:gridCol w:w="851"/>
        <w:gridCol w:w="1714"/>
      </w:tblGrid>
      <w:tr w:rsidR="00B43696">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bookmarkStart w:id="18" w:name="_Hlk15903763"/>
            <w:r>
              <w:rPr>
                <w:rFonts w:ascii="黑体" w:eastAsia="黑体" w:hAnsi="黑体" w:hint="eastAsia"/>
                <w:szCs w:val="21"/>
              </w:rPr>
              <w:t>序号</w:t>
            </w:r>
          </w:p>
        </w:tc>
        <w:tc>
          <w:tcPr>
            <w:tcW w:w="49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bookmarkEnd w:id="18"/>
      <w:tr w:rsidR="00B43696">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919"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《个人所得税基础信息表（</w:t>
            </w:r>
            <w:r>
              <w:rPr>
                <w:rFonts w:ascii="黑体" w:eastAsia="黑体" w:hAnsi="黑体" w:cs="Microsoft Himalaya"/>
                <w:sz w:val="18"/>
                <w:szCs w:val="18"/>
              </w:rPr>
              <w:t>B</w:t>
            </w:r>
            <w:r>
              <w:rPr>
                <w:rFonts w:ascii="黑体" w:eastAsia="黑体" w:hAnsi="黑体" w:cs="Microsoft Himalaya" w:hint="eastAsia"/>
                <w:sz w:val="18"/>
                <w:szCs w:val="18"/>
              </w:rPr>
              <w:t>表）》</w:t>
            </w:r>
          </w:p>
        </w:tc>
        <w:tc>
          <w:tcPr>
            <w:tcW w:w="85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714"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2</w:t>
            </w:r>
          </w:p>
        </w:tc>
        <w:tc>
          <w:tcPr>
            <w:tcW w:w="4919"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自然人身份证件原件</w:t>
            </w:r>
          </w:p>
        </w:tc>
        <w:tc>
          <w:tcPr>
            <w:tcW w:w="85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1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查验后退回</w:t>
            </w:r>
          </w:p>
        </w:tc>
      </w:tr>
      <w:tr w:rsidR="00B43696">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val="624"/>
          <w:jc w:val="center"/>
        </w:trPr>
        <w:tc>
          <w:tcPr>
            <w:tcW w:w="24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val="851"/>
          <w:jc w:val="center"/>
        </w:trPr>
        <w:tc>
          <w:tcPr>
            <w:tcW w:w="24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符合享受个人所得税</w:t>
            </w:r>
            <w:r>
              <w:rPr>
                <w:rFonts w:ascii="黑体" w:eastAsia="黑体" w:hAnsi="黑体"/>
                <w:sz w:val="18"/>
                <w:szCs w:val="18"/>
              </w:rPr>
              <w:t>专项附加扣除条件</w:t>
            </w:r>
            <w:r>
              <w:rPr>
                <w:rFonts w:ascii="黑体" w:eastAsia="黑体" w:hAnsi="黑体" w:hint="eastAsia"/>
                <w:sz w:val="18"/>
                <w:szCs w:val="18"/>
              </w:rPr>
              <w:t>，</w:t>
            </w:r>
            <w:r>
              <w:rPr>
                <w:rFonts w:ascii="黑体" w:eastAsia="黑体" w:hAnsi="黑体"/>
                <w:sz w:val="18"/>
                <w:szCs w:val="18"/>
              </w:rPr>
              <w:t>且所属年度未报送扣除信息或扣除信息变化</w:t>
            </w:r>
          </w:p>
        </w:tc>
        <w:tc>
          <w:tcPr>
            <w:tcW w:w="311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《个人所得税专项附加扣除信息表》</w:t>
            </w:r>
          </w:p>
        </w:tc>
        <w:tc>
          <w:tcPr>
            <w:tcW w:w="851"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14" w:type="dxa"/>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val="851"/>
          <w:jc w:val="center"/>
        </w:trPr>
        <w:tc>
          <w:tcPr>
            <w:tcW w:w="24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任职、受雇的外籍人员</w:t>
            </w:r>
          </w:p>
        </w:tc>
        <w:tc>
          <w:tcPr>
            <w:tcW w:w="311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任职证书或者任职证明复印件</w:t>
            </w:r>
          </w:p>
        </w:tc>
        <w:tc>
          <w:tcPr>
            <w:tcW w:w="851"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14" w:type="dxa"/>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val="851"/>
          <w:jc w:val="center"/>
        </w:trPr>
        <w:tc>
          <w:tcPr>
            <w:tcW w:w="24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履约的外籍人员</w:t>
            </w:r>
          </w:p>
        </w:tc>
        <w:tc>
          <w:tcPr>
            <w:tcW w:w="311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从事劳务或服务的合同、协议复印件</w:t>
            </w:r>
          </w:p>
        </w:tc>
        <w:tc>
          <w:tcPr>
            <w:tcW w:w="851"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14" w:type="dxa"/>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20"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21"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ind w:firstLineChars="200" w:firstLine="420"/>
      </w:pPr>
      <w:bookmarkStart w:id="19" w:name="_Hlk15900101"/>
      <w:r>
        <w:rPr>
          <w:noProof/>
        </w:rPr>
        <w:drawing>
          <wp:inline distT="0" distB="0" distL="114300" distR="114300">
            <wp:extent cx="5184140" cy="1765935"/>
            <wp:effectExtent l="0" t="0" r="12700" b="0"/>
            <wp:docPr id="6" name="图片 14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6" name="图片 145"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bookmarkEnd w:id="19"/>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bookmarkStart w:id="20" w:name="_Hlk14605030"/>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bookmarkEnd w:id="20"/>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纳税人有中国公民身份号码的，首次报送信息并完成实名身份信息验证，</w:t>
      </w:r>
      <w:r>
        <w:rPr>
          <w:rFonts w:ascii="宋体" w:eastAsia="宋体" w:hAnsi="宋体"/>
          <w:sz w:val="24"/>
          <w:szCs w:val="24"/>
        </w:rPr>
        <w:lastRenderedPageBreak/>
        <w:t>以中国公民身份号码为纳税人识别号；没有中国公民身份号码的，首次报送信息并完成实名身份信息验证，由税务机关赋予纳税人识别号。</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自然人可凭报送身份信息时提供的身份证件，向税务机关提出申请查询、打印纳税人识别号。</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享受子女教育、继续教育、住房贷款利息或者住房租金、赡养老人、大病医疗专项附加扣除的纳税人，应向税务机关报送《个人所得税专项附加扣除信息表》。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纳税人应及时进行身份信息报告或变更，未及时报告或变更将会影响个人所得税申报、中国居民纳税人身份确定和享受税收协定待遇等事项的办理。</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7</w:t>
      </w:r>
      <w:r w:rsidR="006927C8">
        <w:t>.</w:t>
      </w:r>
      <w:r>
        <w:rPr>
          <w:rFonts w:hint="eastAsia"/>
        </w:rPr>
        <w:t xml:space="preserve">　</w:t>
      </w:r>
      <w:r>
        <w:rPr>
          <w:rFonts w:ascii="黑体" w:hAnsi="黑体" w:hint="eastAsia"/>
        </w:rPr>
        <w:t>扣缴义务人报告自然人身份信息</w:t>
      </w:r>
    </w:p>
    <w:p w:rsidR="00B43696" w:rsidRDefault="00722CAA">
      <w:pPr>
        <w:wordWrap w:val="0"/>
        <w:spacing w:line="360" w:lineRule="auto"/>
        <w:ind w:firstLineChars="200" w:firstLine="480"/>
        <w:rPr>
          <w:rFonts w:eastAsia="黑体"/>
          <w:sz w:val="24"/>
        </w:rPr>
      </w:pPr>
      <w:r>
        <w:rPr>
          <w:rFonts w:eastAsia="黑体" w:hint="eastAsia"/>
          <w:sz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扣缴义务人报告自然人身份信息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扣缴义务人首次向自然人纳税人支付所得，应于次月扣缴申报时，向税务机关报告自然人纳税人提供的身份信息。</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被投资单位发生个人股东变动或者个人股东所持股权变动的，在次月</w:t>
      </w:r>
      <w:r>
        <w:rPr>
          <w:rFonts w:ascii="Times New Roman" w:eastAsia="宋体" w:hAnsi="Times New Roman" w:hint="eastAsia"/>
          <w:sz w:val="24"/>
          <w:szCs w:val="24"/>
        </w:rPr>
        <w:t>15</w:t>
      </w:r>
      <w:r>
        <w:rPr>
          <w:rFonts w:ascii="宋体" w:eastAsia="宋体" w:hAnsi="宋体"/>
          <w:sz w:val="24"/>
          <w:szCs w:val="24"/>
        </w:rPr>
        <w:t>日内向主管税务机关报送股东变动信息及股东变更情况说明。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1.《中华人民共和国税收征收管理法》第三十条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2.《中华人民共和国个人所得税法》第九条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3.《股权转让所得个人所得税管理办法（试行）》（国家税务总局公告</w:t>
      </w:r>
      <w:r>
        <w:rPr>
          <w:rFonts w:ascii="宋体" w:eastAsia="宋体" w:hAnsi="宋体"/>
          <w:sz w:val="24"/>
          <w:szCs w:val="24"/>
        </w:rPr>
        <w:t>2014年第67号</w:t>
      </w:r>
      <w:r>
        <w:rPr>
          <w:rFonts w:ascii="宋体" w:eastAsia="宋体" w:hAnsi="宋体" w:hint="eastAsia"/>
          <w:sz w:val="24"/>
          <w:szCs w:val="24"/>
        </w:rPr>
        <w:t>发布</w:t>
      </w:r>
      <w:r>
        <w:rPr>
          <w:rFonts w:ascii="宋体" w:eastAsia="宋体" w:hAnsi="宋体"/>
          <w:sz w:val="24"/>
          <w:szCs w:val="24"/>
        </w:rPr>
        <w:t>）</w:t>
      </w:r>
      <w:r>
        <w:rPr>
          <w:rFonts w:ascii="宋体" w:eastAsia="宋体" w:hAnsi="宋体" w:hint="eastAsia"/>
          <w:sz w:val="24"/>
          <w:szCs w:val="24"/>
        </w:rPr>
        <w:t>第二十二条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4.《个人所得税扣缴申报管理办法（试行）》（国家税务总局公告</w:t>
      </w:r>
      <w:r>
        <w:rPr>
          <w:rFonts w:ascii="宋体" w:eastAsia="宋体" w:hAnsi="宋体"/>
          <w:sz w:val="24"/>
          <w:szCs w:val="24"/>
        </w:rPr>
        <w:t>2018年第61号</w:t>
      </w:r>
      <w:r>
        <w:rPr>
          <w:rFonts w:ascii="宋体" w:eastAsia="宋体" w:hAnsi="宋体" w:hint="eastAsia"/>
          <w:sz w:val="24"/>
          <w:szCs w:val="24"/>
        </w:rPr>
        <w:t>发布</w:t>
      </w:r>
      <w:r>
        <w:rPr>
          <w:rFonts w:ascii="宋体" w:eastAsia="宋体" w:hAnsi="宋体"/>
          <w:sz w:val="24"/>
          <w:szCs w:val="24"/>
        </w:rPr>
        <w:t>）</w:t>
      </w:r>
      <w:r>
        <w:rPr>
          <w:rFonts w:ascii="宋体" w:eastAsia="宋体" w:hAnsi="宋体" w:hint="eastAsia"/>
          <w:sz w:val="24"/>
          <w:szCs w:val="24"/>
        </w:rPr>
        <w:t>第五条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bCs/>
          <w:sz w:val="24"/>
          <w:szCs w:val="24"/>
        </w:rPr>
      </w:pPr>
      <w:r>
        <w:rPr>
          <w:rFonts w:ascii="Times New Roman" w:eastAsia="宋体" w:hAnsi="Times New Roman" w:hint="eastAsia"/>
          <w:bCs/>
          <w:sz w:val="24"/>
          <w:szCs w:val="24"/>
        </w:rPr>
        <w:t>1.</w:t>
      </w:r>
      <w:r>
        <w:rPr>
          <w:rFonts w:ascii="宋体" w:eastAsia="宋体" w:hAnsi="宋体"/>
          <w:bCs/>
          <w:sz w:val="24"/>
          <w:szCs w:val="24"/>
        </w:rPr>
        <w:t>首次向自然人纳税人支付所得的扣缴义务人：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84"/>
        <w:gridCol w:w="3402"/>
        <w:gridCol w:w="709"/>
        <w:gridCol w:w="1289"/>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54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8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548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《个人所得税基础信息表（A表）》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28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8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37"/>
          <w:jc w:val="center"/>
        </w:trPr>
        <w:tc>
          <w:tcPr>
            <w:tcW w:w="2764"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21" w:name="_Hlk16258482"/>
            <w:r>
              <w:rPr>
                <w:rFonts w:ascii="黑体" w:eastAsia="黑体" w:hAnsi="黑体" w:hint="eastAsia"/>
                <w:sz w:val="18"/>
                <w:szCs w:val="18"/>
              </w:rPr>
              <w:t>纳税人向扣缴义务人提供有关信息并依法要求办理专项附加扣除</w:t>
            </w:r>
            <w:bookmarkEnd w:id="21"/>
          </w:p>
        </w:tc>
        <w:tc>
          <w:tcPr>
            <w:tcW w:w="340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《个人所得税专项附加扣除信息表》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28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480" w:lineRule="auto"/>
        <w:ind w:firstLineChars="200" w:firstLine="480"/>
        <w:rPr>
          <w:rFonts w:ascii="宋体" w:eastAsia="宋体" w:hAnsi="宋体"/>
        </w:rPr>
      </w:pPr>
      <w:r>
        <w:rPr>
          <w:rFonts w:ascii="Times New Roman" w:eastAsia="宋体" w:hAnsi="Times New Roman" w:hint="eastAsia"/>
          <w:bCs/>
          <w:sz w:val="24"/>
          <w:szCs w:val="24"/>
        </w:rPr>
        <w:t>2.</w:t>
      </w:r>
      <w:r>
        <w:rPr>
          <w:rFonts w:ascii="宋体" w:eastAsia="宋体" w:hAnsi="宋体"/>
          <w:bCs/>
          <w:sz w:val="24"/>
          <w:szCs w:val="24"/>
        </w:rPr>
        <w:t>发生个人股东变动或者个人股东所持股权变动的被投资单位：</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47"/>
        <w:gridCol w:w="709"/>
        <w:gridCol w:w="1173"/>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534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7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53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《个人所得税基础信息表（A表）》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17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2</w:t>
            </w:r>
          </w:p>
        </w:tc>
        <w:tc>
          <w:tcPr>
            <w:tcW w:w="53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股东变更情况说明</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17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69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3</w:t>
            </w:r>
          </w:p>
        </w:tc>
        <w:tc>
          <w:tcPr>
            <w:tcW w:w="53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股东及其股权变化情况</w:t>
            </w:r>
            <w:r>
              <w:rPr>
                <w:rFonts w:ascii="黑体" w:eastAsia="黑体" w:hAnsi="黑体" w:cs="Microsoft Himalaya" w:hint="eastAsia"/>
                <w:sz w:val="18"/>
                <w:szCs w:val="18"/>
              </w:rPr>
              <w:t>、</w:t>
            </w:r>
            <w:r>
              <w:rPr>
                <w:rFonts w:ascii="黑体" w:eastAsia="黑体" w:hAnsi="黑体" w:cs="Microsoft Himalaya"/>
                <w:sz w:val="18"/>
                <w:szCs w:val="18"/>
              </w:rPr>
              <w:t>股权交易前原账面记载的盈余积累数额</w:t>
            </w:r>
            <w:r>
              <w:rPr>
                <w:rFonts w:ascii="黑体" w:eastAsia="黑体" w:hAnsi="黑体" w:cs="Microsoft Himalaya" w:hint="eastAsia"/>
                <w:sz w:val="18"/>
                <w:szCs w:val="18"/>
              </w:rPr>
              <w:t>、</w:t>
            </w:r>
            <w:r>
              <w:rPr>
                <w:rFonts w:ascii="黑体" w:eastAsia="黑体" w:hAnsi="黑体" w:cs="Microsoft Himalaya"/>
                <w:sz w:val="18"/>
                <w:szCs w:val="18"/>
              </w:rPr>
              <w:t>转增股本数额及扣缴税款情况报告</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17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2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2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52600"/>
            <wp:effectExtent l="0" t="0" r="12700" b="0"/>
            <wp:docPr id="7" name="图片 146"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7" name="图片 146" descr="C:\Users\baoqianyu\Desktop\流程图\即办\扣缴义务人.png扣缴义务人"/>
                    <pic:cNvPicPr/>
                  </pic:nvPicPr>
                  <pic:blipFill>
                    <a:blip r:embed="rId24" cstate="print"/>
                    <a:stretch>
                      <a:fillRect/>
                    </a:stretch>
                  </pic:blipFill>
                  <pic:spPr>
                    <a:xfrm>
                      <a:off x="0" y="0"/>
                      <a:ext cx="5184140" cy="17526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bookmarkStart w:id="22" w:name="_Hlk15907534"/>
      <w:r>
        <w:rPr>
          <w:rFonts w:ascii="Times New Roman" w:eastAsia="宋体" w:hAnsi="Times New Roman" w:hint="eastAsia"/>
          <w:sz w:val="24"/>
          <w:szCs w:val="24"/>
        </w:rPr>
        <w:t>1.</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bookmarkEnd w:id="22"/>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扣缴义务人使用符合电子签名法规定条件的电子签名，与手写签名或者盖章具有同等法律效力。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扣缴义务人提供的各项资料为复印件的，均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4.</w:t>
      </w:r>
      <w:r>
        <w:rPr>
          <w:rFonts w:ascii="宋体" w:eastAsia="宋体" w:hAnsi="宋体"/>
          <w:sz w:val="24"/>
          <w:szCs w:val="24"/>
        </w:rPr>
        <w:t>纳税人选择在扣缴义务人发放工资、薪金所得时享受专项附加扣除的，首次享受时，应当填写并向扣缴义务人报送《个人所得税专项附加扣除信息表》。</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纳税人基础身份信息、专项附加扣除信息等内容发生变化的，应及时报送给扣缴义务人，扣缴义务人应当于次月扣缴申报时向税务机关报告。</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由扣缴义务人报告信息的，扣缴义务人应当按照纳税人提供的信息计算税款、办理扣缴申报，不得擅自更改纳税人提供的信息。纳税人发现扣缴义务人提供或者扣缴申报的个人信息、支付所得、扣缴税款等信息与实际情况不符的，有权要求扣缴义务人修改。扣缴义务人拒绝修改的，纳税人应当报告税务机关。</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扣缴义务人发现纳税人提供的信息与实际情况不符的，可以要求自然人纳税人修改。自然人纳税人拒绝修改的，扣缴义务人应当报告税务机关。</w:t>
      </w:r>
    </w:p>
    <w:p w:rsidR="00621AA5" w:rsidRP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8</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621AA5" w:rsidRPr="00621AA5" w:rsidRDefault="00621AA5">
      <w:pPr>
        <w:wordWrap w:val="0"/>
        <w:spacing w:line="360" w:lineRule="auto"/>
        <w:ind w:firstLineChars="200" w:firstLine="480"/>
        <w:rPr>
          <w:rFonts w:ascii="Times New Roman" w:eastAsia="宋体" w:hAnsi="Times New Roman" w:hint="eastAsia"/>
          <w:sz w:val="24"/>
          <w:szCs w:val="24"/>
        </w:rPr>
      </w:pPr>
    </w:p>
    <w:p w:rsidR="00B43696" w:rsidRPr="00621AA5" w:rsidRDefault="00722CAA">
      <w:pPr>
        <w:ind w:firstLineChars="200" w:firstLine="420"/>
        <w:rPr>
          <w:rFonts w:hint="eastAsia"/>
        </w:rPr>
      </w:pPr>
      <w:r>
        <w:rPr>
          <w:rFonts w:hint="eastAsia"/>
        </w:rPr>
        <w:br w:type="page"/>
      </w:r>
    </w:p>
    <w:p w:rsidR="00B43696" w:rsidRDefault="006927C8">
      <w:pPr>
        <w:pStyle w:val="3sunshine"/>
        <w:keepNext w:val="0"/>
        <w:wordWrap w:val="0"/>
        <w:topLinePunct w:val="0"/>
        <w:adjustRightInd/>
        <w:snapToGrid/>
        <w:spacing w:before="332" w:after="332"/>
      </w:pPr>
      <w:r>
        <w:lastRenderedPageBreak/>
        <w:t>8.</w:t>
      </w:r>
      <w:r w:rsidR="00722CAA">
        <w:rPr>
          <w:rFonts w:hint="eastAsia"/>
        </w:rPr>
        <w:t xml:space="preserve">　</w:t>
      </w:r>
      <w:r w:rsidR="00722CAA">
        <w:rPr>
          <w:rFonts w:ascii="黑体" w:hAnsi="黑体" w:hint="eastAsia"/>
        </w:rPr>
        <w:t>税务证件增补发</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税务证件增补发</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纳税人、扣缴义务人发生遗失、损毁税务登记证件的情况，应向税务机关申报办理税务证件增补发事项。</w:t>
      </w:r>
    </w:p>
    <w:p w:rsidR="00B43696" w:rsidRDefault="00722CAA">
      <w:pPr>
        <w:wordWrap w:val="0"/>
        <w:spacing w:line="360" w:lineRule="auto"/>
        <w:ind w:firstLineChars="200" w:firstLine="480"/>
        <w:rPr>
          <w:rFonts w:eastAsia="黑体"/>
          <w:sz w:val="24"/>
        </w:rPr>
      </w:pPr>
      <w:r>
        <w:rPr>
          <w:rFonts w:eastAsia="黑体" w:hint="eastAsia"/>
          <w:sz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1.《中华人民共和国发票管理办法》第十五条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2.《税务登记管理办法》（国家税务总局令第7号公布，国家税务总局令第36号、第44号、第48号修改）第三十七条</w:t>
      </w:r>
    </w:p>
    <w:p w:rsidR="00B43696" w:rsidRDefault="00722CAA">
      <w:pPr>
        <w:pStyle w:val="af5"/>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78"/>
        <w:gridCol w:w="2875"/>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《税务证件增补发报告表》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0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0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税务证件损毁</w:t>
            </w:r>
          </w:p>
        </w:tc>
        <w:tc>
          <w:tcPr>
            <w:tcW w:w="28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损毁的税务证件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2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t>主管税务机关对外公开的联系电话，可点击下列链接通过办税地图获取：</w:t>
      </w:r>
      <w:hyperlink r:id="rId26"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pStyle w:val="af5"/>
        <w:wordWrap w:val="0"/>
        <w:adjustRightInd/>
        <w:snapToGrid/>
        <w:rPr>
          <w:rFonts w:ascii="宋体" w:eastAsia="宋体" w:hAnsi="宋体"/>
        </w:rPr>
      </w:pPr>
      <w:r>
        <w:rPr>
          <w:noProof/>
        </w:rPr>
        <w:drawing>
          <wp:inline distT="0" distB="0" distL="114300" distR="114300">
            <wp:extent cx="5184140" cy="1750695"/>
            <wp:effectExtent l="0" t="0" r="12700" b="0"/>
            <wp:docPr id="10" name="图片 14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0" name="图片 149" descr="C:\Users\baoqianyu\Desktop\流程图\即办\纳税人（扣缴义务人）.png纳税人（扣缴义务人）"/>
                    <pic:cNvPicPr/>
                  </pic:nvPicPr>
                  <pic:blipFill>
                    <a:blip r:embed="rId27" cstate="print"/>
                    <a:stretch>
                      <a:fillRect/>
                    </a:stretch>
                  </pic:blipFill>
                  <pic:spPr>
                    <a:xfrm>
                      <a:off x="0" y="0"/>
                      <a:ext cx="5184140" cy="1750695"/>
                    </a:xfrm>
                    <a:prstGeom prst="rect">
                      <a:avLst/>
                    </a:prstGeom>
                    <a:noFill/>
                    <a:ln>
                      <a:noFill/>
                    </a:ln>
                  </pic:spPr>
                </pic:pic>
              </a:graphicData>
            </a:graphic>
          </wp:inline>
        </w:drawing>
      </w:r>
    </w:p>
    <w:p w:rsidR="00B43696" w:rsidRDefault="00722CAA">
      <w:pPr>
        <w:pStyle w:val="af5"/>
        <w:wordWrap w:val="0"/>
        <w:adjustRightInd/>
        <w:snapToGrid/>
      </w:pPr>
      <w:r>
        <w:rPr>
          <w:rFonts w:hint="eastAsia"/>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纳税人、扣缴义务人对报送材料的真实性和合法性承担责任。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bookmarkStart w:id="23" w:name="_Hlk15918195"/>
      <w:r>
        <w:rPr>
          <w:rFonts w:ascii="Times New Roman" w:eastAsia="宋体" w:hAnsi="Times New Roman" w:hint="eastAsia"/>
          <w:sz w:val="24"/>
          <w:szCs w:val="24"/>
        </w:rPr>
        <w:t>2.</w:t>
      </w:r>
      <w:bookmarkEnd w:id="23"/>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纳税人、扣缴义务人使用符合电子签名法规定条件的电子签名，与手写签名或者盖章具有同等法律效力。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税务登记证件包括但不限于税务登记证（正、副本）、临时税务登记证（正、副本）、扣缴税款登记证件等，其他税务证件包括但不限于发票领</w:t>
      </w:r>
      <w:r>
        <w:rPr>
          <w:rFonts w:ascii="宋体" w:eastAsia="宋体" w:hAnsi="宋体" w:hint="eastAsia"/>
          <w:sz w:val="24"/>
          <w:szCs w:val="24"/>
        </w:rPr>
        <w:t>用</w:t>
      </w:r>
      <w:r>
        <w:rPr>
          <w:rFonts w:ascii="宋体" w:eastAsia="宋体" w:hAnsi="宋体"/>
          <w:sz w:val="24"/>
          <w:szCs w:val="24"/>
        </w:rPr>
        <w:t>簿等。</w:t>
      </w:r>
    </w:p>
    <w:p w:rsidR="00621AA5" w:rsidRPr="00621AA5" w:rsidRDefault="00621AA5" w:rsidP="00621AA5">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621AA5" w:rsidRPr="00621AA5" w:rsidRDefault="00621AA5">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9.</w:t>
      </w:r>
      <w:r w:rsidR="00722CAA">
        <w:rPr>
          <w:rFonts w:hint="eastAsia"/>
        </w:rPr>
        <w:t xml:space="preserve">　存款账户账号报告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存款账户账号报告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从事生产、经营的纳税人在开立或者变更存款账户后，依照法律、行政法规规定，将全部账号向税务机关报告。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《中华人民共和国税收征收管理法》</w:t>
      </w:r>
      <w:r>
        <w:rPr>
          <w:rFonts w:ascii="宋体" w:eastAsia="宋体" w:hAnsi="宋体"/>
          <w:kern w:val="0"/>
          <w:sz w:val="24"/>
          <w:szCs w:val="24"/>
        </w:rPr>
        <w:t>第十七条</w:t>
      </w:r>
    </w:p>
    <w:tbl>
      <w:tblPr>
        <w:tblpPr w:leftFromText="180" w:rightFromText="180" w:vertAnchor="text" w:horzAnchor="page" w:tblpX="2083" w:tblpY="926"/>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37"/>
        <w:gridCol w:w="3685"/>
        <w:gridCol w:w="709"/>
        <w:gridCol w:w="1598"/>
      </w:tblGrid>
      <w:tr w:rsidR="00B43696">
        <w:trPr>
          <w:trHeight w:hRule="exact" w:val="340"/>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9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bookmarkStart w:id="24" w:name="_Hlk12988055"/>
            <w:r>
              <w:rPr>
                <w:rFonts w:ascii="黑体" w:eastAsia="黑体" w:hAnsi="黑体"/>
                <w:szCs w:val="21"/>
              </w:rPr>
              <w:t>1</w:t>
            </w:r>
          </w:p>
        </w:tc>
        <w:tc>
          <w:tcPr>
            <w:tcW w:w="492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《纳税人存款账户账号报告表》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trPr>
        <w:tc>
          <w:tcPr>
            <w:tcW w:w="194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trPr>
        <w:tc>
          <w:tcPr>
            <w:tcW w:w="194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sz w:val="18"/>
                <w:szCs w:val="18"/>
              </w:rPr>
              <w:t>社会保险费缴费人</w:t>
            </w:r>
          </w:p>
        </w:tc>
        <w:tc>
          <w:tcPr>
            <w:tcW w:w="368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《社会保险费缴费人存款账户账号报告表》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bookmarkEnd w:id="24"/>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rPr>
        <w:t>1</w:t>
      </w:r>
      <w:r>
        <w:rPr>
          <w:rFonts w:ascii="宋体" w:eastAsia="宋体" w:hAnsi="宋体"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28"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2.此事项可在全国、省内、同城通办。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29"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ind w:firstLineChars="200" w:firstLine="420"/>
      </w:pPr>
      <w:r>
        <w:rPr>
          <w:noProof/>
        </w:rPr>
        <w:drawing>
          <wp:inline distT="0" distB="0" distL="114300" distR="114300">
            <wp:extent cx="5184140" cy="1765935"/>
            <wp:effectExtent l="0" t="0" r="12700" b="0"/>
            <wp:docPr id="11" name="图片 15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 name="图片 150"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bookmarkStart w:id="25" w:name="_Hlk14605396"/>
      <w:bookmarkStart w:id="26" w:name="_Hlk14605057"/>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bookmarkStart w:id="27" w:name="_Hlk15913141"/>
      <w:bookmarkStart w:id="28" w:name="_Hlk14605232"/>
      <w:r>
        <w:rPr>
          <w:rFonts w:ascii="Times New Roman" w:eastAsia="宋体" w:hAnsi="Times New Roman" w:hint="eastAsia"/>
          <w:sz w:val="24"/>
          <w:szCs w:val="24"/>
        </w:rPr>
        <w:t>2.</w:t>
      </w:r>
      <w:bookmarkEnd w:id="27"/>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bookmarkStart w:id="29" w:name="_Hlk14605245"/>
      <w:bookmarkEnd w:id="28"/>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bookmarkEnd w:id="25"/>
    <w:bookmarkEnd w:id="29"/>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bookmarkStart w:id="30" w:name="_Hlk15915444"/>
      <w:bookmarkEnd w:id="26"/>
      <w:r>
        <w:rPr>
          <w:rFonts w:ascii="Times New Roman" w:eastAsia="宋体" w:hAnsi="Times New Roman" w:hint="eastAsia"/>
          <w:sz w:val="24"/>
          <w:szCs w:val="24"/>
        </w:rPr>
        <w:t>5.</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bookmarkEnd w:id="30"/>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纳税人采用新办纳税人“套餐式”服务的，可在“套餐式”服务内一并办理存款账户账号报告业务。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从事生产、经营的纳税人应当自开立基本存款账户或者其他存款账户之日起</w:t>
      </w:r>
      <w:r>
        <w:rPr>
          <w:rFonts w:ascii="Times New Roman" w:eastAsia="宋体" w:hAnsi="Times New Roman" w:hint="eastAsia"/>
          <w:sz w:val="24"/>
          <w:szCs w:val="24"/>
        </w:rPr>
        <w:t>15</w:t>
      </w:r>
      <w:r>
        <w:rPr>
          <w:rFonts w:ascii="宋体" w:eastAsia="宋体" w:hAnsi="宋体"/>
          <w:sz w:val="24"/>
          <w:szCs w:val="24"/>
        </w:rPr>
        <w:t>日内，向主管税务机关书面报告其全部账号；发生变化的，应当自发生变化之日起</w:t>
      </w:r>
      <w:r>
        <w:rPr>
          <w:rFonts w:ascii="Times New Roman" w:eastAsia="宋体" w:hAnsi="Times New Roman" w:hint="eastAsia"/>
          <w:sz w:val="24"/>
          <w:szCs w:val="24"/>
        </w:rPr>
        <w:t>15</w:t>
      </w:r>
      <w:r>
        <w:rPr>
          <w:rFonts w:ascii="宋体" w:eastAsia="宋体" w:hAnsi="宋体"/>
          <w:sz w:val="24"/>
          <w:szCs w:val="24"/>
        </w:rPr>
        <w:t>日内，向主管税务机关书面报告。</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10.</w:t>
      </w:r>
      <w:r w:rsidR="00722CAA">
        <w:rPr>
          <w:rFonts w:hint="eastAsia"/>
        </w:rPr>
        <w:t xml:space="preserve">　财务会计制度及核算软件备案报告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财务会计制度及核算软件备案报告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从事生产、经营的纳税人的财务、会计制度或者财务、会计处理办法和会计核算软件，应当报送税务机关备案。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《中华人民共和国税收征收管理法》第十九条、第二十条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964"/>
        <w:gridCol w:w="851"/>
        <w:gridCol w:w="1456"/>
      </w:tblGrid>
      <w:tr w:rsidR="00B43696">
        <w:trPr>
          <w:trHeight w:hRule="exact" w:val="454"/>
          <w:jc w:val="center"/>
        </w:trPr>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96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454"/>
          <w:jc w:val="center"/>
        </w:trPr>
        <w:tc>
          <w:tcPr>
            <w:tcW w:w="66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96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《财务会计制度及核算软件备案报告书》</w:t>
            </w:r>
          </w:p>
        </w:tc>
        <w:tc>
          <w:tcPr>
            <w:tcW w:w="85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rPr>
        <w:t>1</w:t>
      </w:r>
      <w:r>
        <w:rPr>
          <w:rFonts w:ascii="宋体" w:eastAsia="宋体" w:hAnsi="宋体"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30"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Fonts w:ascii="宋体" w:eastAsia="宋体" w:hAnsi="宋体"/>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2.此事项可在全国、省内、同城通办。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即办事项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31" w:anchor="/bsdt?code=bsdt&amp;id=9916" w:history="1">
        <w:r>
          <w:rPr>
            <w:rStyle w:val="af2"/>
            <w:rFonts w:ascii="宋体" w:eastAsia="宋体" w:hAnsi="宋体"/>
            <w:sz w:val="24"/>
            <w:szCs w:val="24"/>
          </w:rPr>
          <w:t>h</w:t>
        </w:r>
        <w:r>
          <w:rPr>
            <w:rStyle w:val="af2"/>
            <w:rFonts w:ascii="宋体" w:eastAsia="宋体" w:hAnsi="宋体"/>
            <w:sz w:val="24"/>
            <w:szCs w:val="24"/>
          </w:rPr>
          <w:lastRenderedPageBreak/>
          <w:t>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12" name="图片 15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2" name="图片 151"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纳税人采用新办纳税人“套餐式”服务的，可在“套餐式”服务内一并办理财务会计制度及核算软件备案报告业务。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从事生产、经营的纳税人应当自</w:t>
      </w:r>
      <w:r>
        <w:rPr>
          <w:rFonts w:ascii="宋体" w:eastAsia="宋体" w:hAnsi="宋体" w:hint="eastAsia"/>
          <w:sz w:val="24"/>
          <w:szCs w:val="24"/>
        </w:rPr>
        <w:t>领取税务登记证件</w:t>
      </w:r>
      <w:r>
        <w:rPr>
          <w:rFonts w:ascii="宋体" w:eastAsia="宋体" w:hAnsi="宋体"/>
          <w:sz w:val="24"/>
          <w:szCs w:val="24"/>
        </w:rPr>
        <w:t>起</w:t>
      </w:r>
      <w:r>
        <w:rPr>
          <w:rFonts w:ascii="Times New Roman" w:eastAsia="宋体" w:hAnsi="Times New Roman" w:hint="eastAsia"/>
          <w:sz w:val="24"/>
          <w:szCs w:val="24"/>
        </w:rPr>
        <w:t>15</w:t>
      </w:r>
      <w:r>
        <w:rPr>
          <w:rFonts w:ascii="宋体" w:eastAsia="宋体" w:hAnsi="宋体"/>
          <w:sz w:val="24"/>
          <w:szCs w:val="24"/>
        </w:rPr>
        <w:t>日内，将其财务、会计制度或者财务、会计处理办法等信息报送税务机关备案。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hint="eastAsia"/>
          <w:sz w:val="24"/>
          <w:szCs w:val="24"/>
        </w:rPr>
        <w:t>非境内注册居民企业</w:t>
      </w:r>
      <w:r>
        <w:rPr>
          <w:rFonts w:ascii="宋体" w:eastAsia="宋体" w:hAnsi="宋体"/>
          <w:sz w:val="24"/>
          <w:szCs w:val="24"/>
        </w:rPr>
        <w:t>应当按照中国有关法律、法规和国务院财政、税务主管部门的规定，编制财务、会计报表，并在</w:t>
      </w:r>
      <w:r>
        <w:rPr>
          <w:rFonts w:ascii="宋体" w:eastAsia="宋体" w:hAnsi="宋体" w:hint="eastAsia"/>
          <w:sz w:val="24"/>
          <w:szCs w:val="24"/>
        </w:rPr>
        <w:t>领取税务登记证件</w:t>
      </w:r>
      <w:r>
        <w:rPr>
          <w:rFonts w:ascii="宋体" w:eastAsia="宋体" w:hAnsi="宋体"/>
          <w:sz w:val="24"/>
          <w:szCs w:val="24"/>
        </w:rPr>
        <w:t>之日起</w:t>
      </w:r>
      <w:r>
        <w:rPr>
          <w:rFonts w:ascii="Times New Roman" w:eastAsia="宋体" w:hAnsi="Times New Roman" w:hint="eastAsia"/>
          <w:sz w:val="24"/>
          <w:szCs w:val="24"/>
        </w:rPr>
        <w:t>15</w:t>
      </w:r>
      <w:r>
        <w:rPr>
          <w:rFonts w:ascii="宋体" w:eastAsia="宋体" w:hAnsi="宋体"/>
          <w:sz w:val="24"/>
          <w:szCs w:val="24"/>
        </w:rPr>
        <w:t>日内将企业的财务、会计制度或者财务会计、处理办法及有关资料报送主管税务机关备案。</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9.</w:t>
      </w:r>
      <w:r>
        <w:rPr>
          <w:rFonts w:ascii="Times New Roman" w:eastAsia="宋体" w:hAnsi="Times New Roman"/>
          <w:sz w:val="24"/>
          <w:szCs w:val="24"/>
        </w:rPr>
        <w:t>纳税人未准确填报适用的财务会计制度的，将影响财务会计报告报送等事</w:t>
      </w:r>
      <w:r>
        <w:rPr>
          <w:rFonts w:ascii="Times New Roman" w:eastAsia="宋体" w:hAnsi="Times New Roman"/>
          <w:sz w:val="24"/>
          <w:szCs w:val="24"/>
        </w:rPr>
        <w:lastRenderedPageBreak/>
        <w:t>项的办理。</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10</w:t>
      </w:r>
      <w:r>
        <w:rPr>
          <w:rFonts w:ascii="Times New Roman" w:eastAsia="宋体" w:hAnsi="Times New Roman"/>
          <w:sz w:val="24"/>
          <w:szCs w:val="24"/>
        </w:rPr>
        <w:t>.</w:t>
      </w:r>
      <w:r>
        <w:rPr>
          <w:rFonts w:ascii="Times New Roman" w:eastAsia="宋体" w:hAnsi="Times New Roman"/>
          <w:sz w:val="24"/>
          <w:szCs w:val="24"/>
        </w:rPr>
        <w:t>纳税人使用计算机记账的，还应在使用前将会计电算化系统的会计核算软件、使用说明书及有关资料报送主管税务机关备案</w:t>
      </w:r>
      <w:r>
        <w:rPr>
          <w:rFonts w:ascii="Times New Roman" w:eastAsia="宋体" w:hAnsi="Times New Roman" w:hint="eastAsia"/>
          <w:sz w:val="24"/>
          <w:szCs w:val="24"/>
        </w:rPr>
        <w:t>。</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11.</w:t>
      </w:r>
      <w:r w:rsidR="00722CAA">
        <w:rPr>
          <w:rFonts w:hint="eastAsia"/>
        </w:rPr>
        <w:t xml:space="preserve">　</w:t>
      </w:r>
      <w:bookmarkStart w:id="31" w:name="_Hlk12880893"/>
      <w:r w:rsidR="00722CAA">
        <w:rPr>
          <w:rFonts w:hint="eastAsia"/>
        </w:rPr>
        <w:t>银税三方（委托）划缴协议</w:t>
      </w:r>
      <w:bookmarkEnd w:id="31"/>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银税三方（委托）划缴协议</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纳税人需要使用电子缴税系统缴纳税费的，可以与税务机关、开户银行签署委托银行代缴税款三方协议或委托划转税款协议，实现使用电子缴税系统缴纳税费、滞纳金和罚款。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《中华人民共和国税收征收管理法实施细则》第四十条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80"/>
        <w:gridCol w:w="993"/>
        <w:gridCol w:w="1456"/>
      </w:tblGrid>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7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p>
        </w:tc>
        <w:tc>
          <w:tcPr>
            <w:tcW w:w="4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32" w:name="_Hlk12881123"/>
            <w:r>
              <w:rPr>
                <w:rFonts w:ascii="黑体" w:eastAsia="黑体" w:hAnsi="黑体" w:cs="Microsoft Himalaya" w:hint="eastAsia"/>
                <w:sz w:val="18"/>
                <w:szCs w:val="18"/>
              </w:rPr>
              <w:t>《</w:t>
            </w:r>
            <w:bookmarkStart w:id="33" w:name="_Hlk12881066"/>
            <w:r>
              <w:rPr>
                <w:rFonts w:ascii="黑体" w:eastAsia="黑体" w:hAnsi="黑体" w:cs="Microsoft Himalaya" w:hint="eastAsia"/>
                <w:sz w:val="18"/>
                <w:szCs w:val="18"/>
              </w:rPr>
              <w:t>委托银行代缴税款三方协议（委托划转税款协议书）</w:t>
            </w:r>
            <w:bookmarkEnd w:id="33"/>
            <w:r>
              <w:rPr>
                <w:rFonts w:ascii="黑体" w:eastAsia="黑体" w:hAnsi="黑体" w:cs="Microsoft Himalaya" w:hint="eastAsia"/>
                <w:sz w:val="18"/>
                <w:szCs w:val="18"/>
              </w:rPr>
              <w:t>》</w:t>
            </w:r>
            <w:bookmarkEnd w:id="32"/>
          </w:p>
        </w:tc>
        <w:tc>
          <w:tcPr>
            <w:tcW w:w="99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3份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2</w:t>
            </w:r>
          </w:p>
        </w:tc>
        <w:tc>
          <w:tcPr>
            <w:tcW w:w="4780"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经办人身份证件原件</w:t>
            </w:r>
          </w:p>
        </w:tc>
        <w:tc>
          <w:tcPr>
            <w:tcW w:w="993"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1份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3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3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rFonts w:ascii="Calibri" w:eastAsia="宋体" w:hAnsi="Calibri"/>
          <w:noProof/>
        </w:rPr>
        <w:drawing>
          <wp:inline distT="0" distB="0" distL="114300" distR="114300">
            <wp:extent cx="4953000" cy="2057400"/>
            <wp:effectExtent l="0" t="0" r="0" b="0"/>
            <wp:docPr id="1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1"/>
                    <pic:cNvPicPr>
                      <a:picLocks noChangeAspect="1"/>
                    </pic:cNvPicPr>
                  </pic:nvPicPr>
                  <pic:blipFill>
                    <a:blip r:embed="rId34" cstate="print">
                      <a:lum bright="1999"/>
                    </a:blip>
                    <a:stretch>
                      <a:fillRect/>
                    </a:stretch>
                  </pic:blipFill>
                  <pic:spPr>
                    <a:xfrm>
                      <a:off x="0" y="0"/>
                      <a:ext cx="4953000" cy="20574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纳税人可通过办税服务厅、电子税务局获取</w:t>
      </w:r>
      <w:bookmarkStart w:id="34" w:name="_Hlk16200905"/>
      <w:r>
        <w:rPr>
          <w:rFonts w:ascii="宋体" w:eastAsia="宋体" w:hAnsi="宋体"/>
          <w:sz w:val="24"/>
          <w:szCs w:val="24"/>
        </w:rPr>
        <w:t>《委托银行代缴税款三方协议（委托划转税款协议书）》</w:t>
      </w:r>
      <w:bookmarkEnd w:id="34"/>
      <w:r>
        <w:rPr>
          <w:rFonts w:ascii="宋体" w:eastAsia="宋体" w:hAnsi="宋体"/>
          <w:sz w:val="24"/>
          <w:szCs w:val="24"/>
        </w:rPr>
        <w:t>文本。</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纳税人在办理“银税三方（委托）划缴协议”事项前，</w:t>
      </w:r>
      <w:r>
        <w:rPr>
          <w:rFonts w:ascii="宋体" w:eastAsia="宋体" w:hAnsi="宋体" w:hint="eastAsia"/>
          <w:sz w:val="24"/>
          <w:szCs w:val="24"/>
        </w:rPr>
        <w:t>需</w:t>
      </w:r>
      <w:r>
        <w:rPr>
          <w:rFonts w:ascii="宋体" w:eastAsia="宋体" w:hAnsi="宋体"/>
          <w:sz w:val="24"/>
          <w:szCs w:val="24"/>
        </w:rPr>
        <w:t>先办理完成“存款账户账号报告”事项。</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bookmarkStart w:id="35" w:name="_Hlk508440898"/>
      <w:bookmarkStart w:id="36" w:name="_Hlk14511759"/>
      <w:r>
        <w:rPr>
          <w:rFonts w:hint="eastAsia"/>
        </w:rPr>
        <w:lastRenderedPageBreak/>
        <w:t>1</w:t>
      </w:r>
      <w:r>
        <w:t>2.</w:t>
      </w:r>
      <w:r w:rsidR="00722CAA">
        <w:rPr>
          <w:rFonts w:hint="eastAsia"/>
        </w:rPr>
        <w:t xml:space="preserve">　</w:t>
      </w:r>
      <w:bookmarkEnd w:id="0"/>
      <w:bookmarkEnd w:id="1"/>
      <w:bookmarkEnd w:id="2"/>
      <w:bookmarkEnd w:id="35"/>
      <w:r w:rsidR="00722CAA">
        <w:rPr>
          <w:rFonts w:hint="eastAsia"/>
        </w:rPr>
        <w:t>跨区域涉税事项报告</w:t>
      </w:r>
      <w:bookmarkEnd w:id="36"/>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跨区域涉税事项报告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纳税人跨省（自治区、直辖市和计划单列市）临时从事生产经营活动的，向机构所在地的税务机关填报《跨区域涉税事项报告表》</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.《中华人民共和国税收征收管理法实施细则》第二十一条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.《国家税务总局关于明确跨区域涉税事项报验管理相关问题的公告》</w:t>
      </w:r>
      <w:r>
        <w:rPr>
          <w:rFonts w:ascii="宋体" w:eastAsia="宋体" w:hAnsi="宋体"/>
          <w:sz w:val="24"/>
          <w:szCs w:val="24"/>
        </w:rPr>
        <w:t>（国家税务总局公告2018年第38号）</w:t>
      </w:r>
      <w:r>
        <w:rPr>
          <w:rFonts w:ascii="宋体" w:eastAsia="宋体" w:hAnsi="宋体" w:hint="eastAsia"/>
          <w:sz w:val="24"/>
          <w:szCs w:val="24"/>
        </w:rPr>
        <w:t>第一条</w:t>
      </w:r>
    </w:p>
    <w:p w:rsidR="00B43696" w:rsidRDefault="00722CAA">
      <w:pPr>
        <w:wordWrap w:val="0"/>
        <w:spacing w:line="360" w:lineRule="auto"/>
        <w:ind w:firstLineChars="200" w:firstLine="480"/>
        <w:rPr>
          <w:rFonts w:ascii="黑体" w:eastAsia="黑体" w:hAnsi="黑体"/>
          <w:bCs/>
          <w:sz w:val="24"/>
          <w:szCs w:val="24"/>
        </w:rPr>
      </w:pPr>
      <w:bookmarkStart w:id="37" w:name="_Hlk507771424"/>
      <w:r>
        <w:rPr>
          <w:rFonts w:ascii="黑体" w:eastAsia="黑体" w:hAnsi="黑体" w:hint="eastAsia"/>
          <w:bCs/>
          <w:sz w:val="24"/>
          <w:szCs w:val="24"/>
        </w:rPr>
        <w:t>【办理材料】</w:t>
      </w:r>
      <w:bookmarkStart w:id="38" w:name="_Hlk507772566"/>
      <w:bookmarkEnd w:id="37"/>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640"/>
        <w:gridCol w:w="708"/>
        <w:gridCol w:w="2247"/>
      </w:tblGrid>
      <w:tr w:rsidR="00B43696">
        <w:trPr>
          <w:trHeight w:hRule="exact" w:val="809"/>
          <w:jc w:val="center"/>
        </w:trPr>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bookmarkStart w:id="39" w:name="_Hlk507772549"/>
            <w:r>
              <w:rPr>
                <w:rFonts w:ascii="黑体" w:eastAsia="黑体" w:hAnsi="黑体" w:hint="eastAsia"/>
                <w:szCs w:val="21"/>
              </w:rPr>
              <w:t>序号</w:t>
            </w:r>
          </w:p>
        </w:tc>
        <w:tc>
          <w:tcPr>
            <w:tcW w:w="464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4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603"/>
          <w:jc w:val="center"/>
        </w:trPr>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《跨区域涉税事项报告表》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4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rPr>
                <w:rFonts w:ascii="黑体" w:eastAsia="黑体" w:hAnsi="黑体"/>
                <w:sz w:val="18"/>
                <w:szCs w:val="18"/>
              </w:rPr>
            </w:pPr>
          </w:p>
        </w:tc>
      </w:tr>
      <w:tr w:rsidR="00B43696">
        <w:trPr>
          <w:trHeight w:hRule="exact" w:val="1055"/>
          <w:jc w:val="center"/>
        </w:trPr>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2</w:t>
            </w:r>
          </w:p>
        </w:tc>
        <w:tc>
          <w:tcPr>
            <w:tcW w:w="46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加载统一社会信用代码的营业执照（或税务登记证、组织机构代码证等）原件，或加盖纳税人公章的复印件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cs="Microsoft Himalaya" w:hint="eastAsia"/>
                <w:sz w:val="18"/>
                <w:szCs w:val="18"/>
              </w:rPr>
              <w:t>原件查验后退回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3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bookmarkEnd w:id="38"/>
    <w:bookmarkEnd w:id="39"/>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3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14" name="图片 15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4" name="图片 153"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经过实名信息验证的办税人员，不再提供登记证件和身份证件复印件等资料。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纳税人跨区域经营合同延期的，可以选择在经营地或机构所在地的税务机关办理报验管理有效期限延期手续。</w:t>
      </w:r>
    </w:p>
    <w:p w:rsidR="00B43696" w:rsidRDefault="00722CAA">
      <w:pPr>
        <w:wordWrap w:val="0"/>
        <w:spacing w:line="360" w:lineRule="auto"/>
        <w:ind w:firstLineChars="200" w:firstLine="480"/>
        <w:rPr>
          <w:rFonts w:ascii="宋体" w:eastAsia="宋体" w:hAnsi="宋体"/>
          <w:sz w:val="24"/>
          <w:szCs w:val="24"/>
        </w:rPr>
      </w:pPr>
      <w:bookmarkStart w:id="40" w:name="_Hlk14511512"/>
      <w:r>
        <w:rPr>
          <w:rFonts w:ascii="Times New Roman" w:eastAsia="宋体" w:hAnsi="Times New Roman" w:hint="eastAsia"/>
          <w:sz w:val="24"/>
          <w:szCs w:val="24"/>
        </w:rPr>
        <w:t>7.</w:t>
      </w:r>
      <w:r>
        <w:rPr>
          <w:rFonts w:ascii="宋体" w:eastAsia="宋体" w:hAnsi="宋体"/>
          <w:sz w:val="24"/>
          <w:szCs w:val="24"/>
        </w:rPr>
        <w:t>异地不动产转让和租赁业务不适用跨区域涉税事项管理相关制度规定</w:t>
      </w:r>
      <w:bookmarkEnd w:id="40"/>
      <w:r>
        <w:rPr>
          <w:rFonts w:ascii="宋体" w:eastAsia="宋体" w:hAnsi="宋体"/>
          <w:sz w:val="24"/>
          <w:szCs w:val="24"/>
        </w:rPr>
        <w:t>，需根据《</w:t>
      </w:r>
      <w:r>
        <w:rPr>
          <w:rFonts w:ascii="宋体" w:eastAsia="宋体" w:hAnsi="宋体" w:hint="eastAsia"/>
          <w:sz w:val="24"/>
          <w:szCs w:val="24"/>
        </w:rPr>
        <w:t>国家税务总局</w:t>
      </w:r>
      <w:r>
        <w:rPr>
          <w:rFonts w:ascii="宋体" w:eastAsia="宋体" w:hAnsi="宋体"/>
          <w:sz w:val="24"/>
          <w:szCs w:val="24"/>
        </w:rPr>
        <w:t>关于发布&lt;纳税人转让不动产增值税征收管理暂行办法&gt;的公</w:t>
      </w:r>
      <w:r>
        <w:rPr>
          <w:rFonts w:ascii="宋体" w:eastAsia="宋体" w:hAnsi="宋体"/>
          <w:sz w:val="24"/>
          <w:szCs w:val="24"/>
        </w:rPr>
        <w:lastRenderedPageBreak/>
        <w:t>告》（国家税务总局公告</w:t>
      </w:r>
      <w:r>
        <w:rPr>
          <w:rFonts w:ascii="Times New Roman" w:eastAsia="宋体" w:hAnsi="Times New Roman" w:hint="eastAsia"/>
          <w:sz w:val="24"/>
          <w:szCs w:val="24"/>
        </w:rPr>
        <w:t>2016</w:t>
      </w:r>
      <w:r>
        <w:rPr>
          <w:rFonts w:ascii="宋体" w:eastAsia="宋体" w:hAnsi="宋体"/>
          <w:sz w:val="24"/>
          <w:szCs w:val="24"/>
        </w:rPr>
        <w:t>年第</w:t>
      </w:r>
      <w:r>
        <w:rPr>
          <w:rFonts w:ascii="Times New Roman" w:eastAsia="宋体" w:hAnsi="Times New Roman" w:hint="eastAsia"/>
          <w:sz w:val="24"/>
          <w:szCs w:val="24"/>
        </w:rPr>
        <w:t>14</w:t>
      </w:r>
      <w:r>
        <w:rPr>
          <w:rFonts w:ascii="宋体" w:eastAsia="宋体" w:hAnsi="宋体"/>
          <w:sz w:val="24"/>
          <w:szCs w:val="24"/>
        </w:rPr>
        <w:t>号）、《</w:t>
      </w:r>
      <w:r>
        <w:rPr>
          <w:rFonts w:ascii="宋体" w:eastAsia="宋体" w:hAnsi="宋体" w:hint="eastAsia"/>
          <w:sz w:val="24"/>
          <w:szCs w:val="24"/>
        </w:rPr>
        <w:t>国家税务总局</w:t>
      </w:r>
      <w:r>
        <w:rPr>
          <w:rFonts w:ascii="宋体" w:eastAsia="宋体" w:hAnsi="宋体"/>
          <w:sz w:val="24"/>
          <w:szCs w:val="24"/>
        </w:rPr>
        <w:t>关于发布&lt;纳税人提供不动产经营租赁服务增值税征收管理暂行办法&gt;的公告》（国家税务总局公告</w:t>
      </w:r>
      <w:r>
        <w:rPr>
          <w:rFonts w:ascii="Times New Roman" w:eastAsia="宋体" w:hAnsi="Times New Roman" w:hint="eastAsia"/>
          <w:sz w:val="24"/>
          <w:szCs w:val="24"/>
        </w:rPr>
        <w:t>2016</w:t>
      </w:r>
      <w:r>
        <w:rPr>
          <w:rFonts w:ascii="宋体" w:eastAsia="宋体" w:hAnsi="宋体"/>
          <w:sz w:val="24"/>
          <w:szCs w:val="24"/>
        </w:rPr>
        <w:t>年第</w:t>
      </w:r>
      <w:r>
        <w:rPr>
          <w:rFonts w:ascii="Times New Roman" w:eastAsia="宋体" w:hAnsi="Times New Roman" w:hint="eastAsia"/>
          <w:sz w:val="24"/>
          <w:szCs w:val="24"/>
        </w:rPr>
        <w:t>16</w:t>
      </w:r>
      <w:r>
        <w:rPr>
          <w:rFonts w:ascii="宋体" w:eastAsia="宋体" w:hAnsi="宋体"/>
          <w:sz w:val="24"/>
          <w:szCs w:val="24"/>
        </w:rPr>
        <w:t>号）中的相关条款办理。</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13.</w:t>
      </w:r>
      <w:r w:rsidR="00722CAA">
        <w:rPr>
          <w:rFonts w:hint="eastAsia"/>
        </w:rPr>
        <w:t xml:space="preserve">　跨区域涉税事项报验</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跨区域涉税事项报验</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纳税人首次在经营地办理涉税事宜时，向经营地税务机关报验跨区域涉税事项</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.《中华人民共和国税收征收管理法实施细则》第二十一条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2.《国家税务总局关于明确跨区域涉税事项报验管理相关问题的公告》</w:t>
      </w:r>
      <w:r>
        <w:rPr>
          <w:rFonts w:ascii="宋体" w:eastAsia="宋体" w:hAnsi="宋体"/>
          <w:sz w:val="24"/>
          <w:szCs w:val="24"/>
        </w:rPr>
        <w:t>（国家税务总局公告2018年第38号）</w:t>
      </w:r>
      <w:r>
        <w:rPr>
          <w:rFonts w:ascii="宋体" w:eastAsia="宋体" w:hAnsi="宋体" w:hint="eastAsia"/>
          <w:sz w:val="24"/>
          <w:szCs w:val="24"/>
        </w:rPr>
        <w:t>第四条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690"/>
        <w:gridCol w:w="708"/>
        <w:gridCol w:w="1882"/>
      </w:tblGrid>
      <w:tr w:rsidR="00B43696">
        <w:trPr>
          <w:trHeight w:hRule="exact" w:val="809"/>
          <w:jc w:val="center"/>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适用情况</w:t>
            </w:r>
          </w:p>
        </w:tc>
        <w:tc>
          <w:tcPr>
            <w:tcW w:w="46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8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1090"/>
          <w:jc w:val="center"/>
        </w:trPr>
        <w:tc>
          <w:tcPr>
            <w:tcW w:w="6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w:t>
            </w:r>
          </w:p>
        </w:tc>
        <w:tc>
          <w:tcPr>
            <w:tcW w:w="469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加载统一社会信用代码的营业执照（或税务登记证、组织机构代码证等）原件，或加盖纳税人公章的复印件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8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原件查验后退回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3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经营地税务机关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pPr>
      <w:r>
        <w:rPr>
          <w:rFonts w:ascii="宋体" w:eastAsia="宋体" w:hAnsi="宋体" w:hint="eastAsia"/>
          <w:sz w:val="24"/>
          <w:szCs w:val="24"/>
        </w:rPr>
        <w:t>经营地税务机关对外公开的联系电话，可点击下列链接通过办税地图获取：</w:t>
      </w:r>
      <w:hyperlink r:id="rId3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15" name="图片 15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 name="图片 154"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4.经过实名信息验证的办税人员，不再提供登记证件和身份证件复印件等资料。</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14.</w:t>
      </w:r>
      <w:r w:rsidR="00722CAA">
        <w:rPr>
          <w:rFonts w:hint="eastAsia"/>
        </w:rPr>
        <w:t xml:space="preserve">　</w:t>
      </w:r>
      <w:bookmarkStart w:id="41" w:name="_Hlk12602024"/>
      <w:r w:rsidR="00722CAA">
        <w:rPr>
          <w:rFonts w:hint="eastAsia"/>
        </w:rPr>
        <w:t>跨区域涉税事项信息反馈</w:t>
      </w:r>
    </w:p>
    <w:bookmarkEnd w:id="41"/>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跨区域涉税事项信息反馈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纳税人跨区域经营活动结束后，应当结清经营地税务机关的应纳税款以及其他涉税事项，向经营地税务机关填报《经营地涉税事项反馈表》。</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.《中华人民共和国税收征收管理法实施细则》第二十一条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.《国家税务总局关于明确跨区域涉税事项报验管理相关问题的公告》</w:t>
      </w:r>
      <w:r>
        <w:rPr>
          <w:rFonts w:ascii="宋体" w:eastAsia="宋体" w:hAnsi="宋体"/>
          <w:sz w:val="24"/>
          <w:szCs w:val="24"/>
        </w:rPr>
        <w:t>（国家税务总局公告2018年第38号）</w:t>
      </w:r>
      <w:r>
        <w:rPr>
          <w:rFonts w:ascii="宋体" w:eastAsia="宋体" w:hAnsi="宋体" w:hint="eastAsia"/>
          <w:sz w:val="24"/>
          <w:szCs w:val="24"/>
        </w:rPr>
        <w:t>第五条第一款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2"/>
        <w:gridCol w:w="709"/>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《经营地涉税事项反馈表》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3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经营地税务机关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lastRenderedPageBreak/>
        <w:t>经营地税务机关对外公开的联系电话，可点击下列链接通过办税地图获取：</w:t>
      </w:r>
      <w:hyperlink r:id="rId4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283200" cy="1800225"/>
            <wp:effectExtent l="0" t="0" r="5080" b="0"/>
            <wp:docPr id="16" name="图片 1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 name="图片 155" descr="C:\Users\baoqianyu\Desktop\流程图\即办\纳税人.png纳税人"/>
                    <pic:cNvPicPr/>
                  </pic:nvPicPr>
                  <pic:blipFill>
                    <a:blip r:embed="rId14" cstate="print"/>
                    <a:stretch>
                      <a:fillRect/>
                    </a:stretch>
                  </pic:blipFill>
                  <pic:spPr>
                    <a:xfrm>
                      <a:off x="0" y="0"/>
                      <a:ext cx="5283200" cy="18002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纳税人对报送材料的真实性和合法性承担责任。</w:t>
      </w:r>
    </w:p>
    <w:p w:rsidR="00B43696" w:rsidRDefault="00722CAA">
      <w:pPr>
        <w:pStyle w:val="af5"/>
        <w:wordWrap w:val="0"/>
        <w:adjustRightInd/>
        <w:snapToGrid/>
        <w:rPr>
          <w:rFonts w:ascii="宋体" w:eastAsia="宋体" w:hAnsi="宋体"/>
          <w:bCs w:val="0"/>
        </w:rPr>
      </w:pPr>
      <w:r>
        <w:rPr>
          <w:rFonts w:ascii="宋体" w:eastAsia="宋体" w:hAnsi="宋体"/>
        </w:rPr>
        <w:t>2</w:t>
      </w:r>
      <w:r>
        <w:rPr>
          <w:rFonts w:ascii="宋体" w:eastAsia="宋体" w:hAnsi="宋体" w:hint="eastAsia"/>
        </w:rPr>
        <w:t>.</w:t>
      </w:r>
      <w:r>
        <w:rPr>
          <w:rFonts w:ascii="宋体" w:eastAsia="宋体" w:hAnsi="宋体" w:hint="eastAsia"/>
          <w:bCs w:val="0"/>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5.经营地税务机关核对《经营地涉税事项反馈表》后，及时将相关信息反馈给机构所在地的税务机关。纳税人不需要另行向机构所在地的税务机关反馈。</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rPr>
          <w:rFonts w:hint="eastAsia"/>
        </w:rPr>
        <w:lastRenderedPageBreak/>
        <w:t>1</w:t>
      </w:r>
      <w:r>
        <w:t>5.</w:t>
      </w:r>
      <w:r w:rsidR="00722CAA">
        <w:rPr>
          <w:rFonts w:hint="eastAsia"/>
        </w:rPr>
        <w:t xml:space="preserve">　增值税一般纳税人登记</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增值税一般纳税人登记</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增值税纳税人年应税销售额超过财政部、国家税务总局规定的小规模纳税人标准，或虽未超过标准但会计核算健全、能够提供准确税务资料。</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《增值税一般纳税人登记管理办法》（国家税务总局令第43号公布）第二条第一款、第三条第一款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39"/>
        <w:gridCol w:w="850"/>
        <w:gridCol w:w="1740"/>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《增值税一般纳税人登记表》</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2</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经办人身份证件原件</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hint="eastAsia"/>
                <w:sz w:val="18"/>
                <w:szCs w:val="18"/>
              </w:rPr>
              <w:t>查验后退回</w:t>
            </w:r>
          </w:p>
        </w:tc>
      </w:tr>
      <w:tr w:rsidR="00B43696">
        <w:trPr>
          <w:trHeight w:hRule="exact" w:val="102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3</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2" w:name="_Hlk15938937"/>
            <w:r>
              <w:rPr>
                <w:rFonts w:ascii="黑体" w:eastAsia="黑体" w:hAnsi="黑体" w:hint="eastAsia"/>
                <w:sz w:val="18"/>
                <w:szCs w:val="18"/>
              </w:rPr>
              <w:t>加载统一社会信用代码的营业执照（或税务登记证、组织机构代码证等）原件</w:t>
            </w:r>
            <w:bookmarkEnd w:id="42"/>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4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Fonts w:ascii="宋体" w:eastAsia="宋体" w:hAnsi="宋体"/>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2.此事项可在省内、同城通办。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184140" cy="1765935"/>
            <wp:effectExtent l="0" t="0" r="12700" b="0"/>
            <wp:docPr id="17" name="图片 15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 name="图片 156"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sidRPr="006927C8">
        <w:rPr>
          <w:rFonts w:ascii="Times New Roman" w:eastAsia="宋体" w:hAnsi="Times New Roman" w:hint="eastAsia"/>
          <w:sz w:val="24"/>
          <w:szCs w:val="24"/>
        </w:rPr>
        <w:t>5.</w:t>
      </w:r>
      <w:r w:rsidRPr="006927C8">
        <w:rPr>
          <w:rFonts w:ascii="Times New Roman" w:eastAsia="宋体" w:hAnsi="Times New Roman"/>
          <w:sz w:val="24"/>
          <w:szCs w:val="24"/>
        </w:rPr>
        <w:t>年</w:t>
      </w:r>
      <w:r>
        <w:rPr>
          <w:rFonts w:ascii="宋体" w:eastAsia="宋体" w:hAnsi="宋体"/>
          <w:sz w:val="24"/>
          <w:szCs w:val="24"/>
        </w:rPr>
        <w:t>应税销售额，是指纳税人在连续不超过</w:t>
      </w:r>
      <w:r>
        <w:rPr>
          <w:rFonts w:ascii="Times New Roman" w:eastAsia="宋体" w:hAnsi="Times New Roman" w:hint="eastAsia"/>
          <w:sz w:val="24"/>
          <w:szCs w:val="24"/>
        </w:rPr>
        <w:t>12</w:t>
      </w:r>
      <w:r>
        <w:rPr>
          <w:rFonts w:ascii="宋体" w:eastAsia="宋体" w:hAnsi="宋体"/>
          <w:sz w:val="24"/>
          <w:szCs w:val="24"/>
        </w:rPr>
        <w:t>个月或四个季度的经营期内累计应征增值税销售额。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财政部、国家税务总局规定的增值税小规模纳税人标准为年应征增值税销售额</w:t>
      </w:r>
      <w:r>
        <w:rPr>
          <w:rFonts w:ascii="Times New Roman" w:eastAsia="宋体" w:hAnsi="Times New Roman" w:hint="eastAsia"/>
          <w:sz w:val="24"/>
          <w:szCs w:val="24"/>
        </w:rPr>
        <w:t>500</w:t>
      </w:r>
      <w:r>
        <w:rPr>
          <w:rFonts w:ascii="宋体" w:eastAsia="宋体" w:hAnsi="宋体"/>
          <w:sz w:val="24"/>
          <w:szCs w:val="24"/>
        </w:rPr>
        <w:t>万元及以下。</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纳税人应在年应税销售额超过规定标准的月份（季度）所属申报期结束后</w:t>
      </w:r>
      <w:r>
        <w:rPr>
          <w:rFonts w:ascii="Times New Roman" w:eastAsia="宋体" w:hAnsi="Times New Roman" w:hint="eastAsia"/>
          <w:sz w:val="24"/>
          <w:szCs w:val="24"/>
        </w:rPr>
        <w:t>15</w:t>
      </w:r>
      <w:r>
        <w:rPr>
          <w:rFonts w:ascii="宋体" w:eastAsia="宋体" w:hAnsi="宋体"/>
          <w:sz w:val="24"/>
          <w:szCs w:val="24"/>
        </w:rPr>
        <w:t>日内办理增值税一般纳税人登记或者选择按照小规模纳税人纳税的手续；未按规定时限办理的，应在收到《税务事项通知书》后</w:t>
      </w:r>
      <w:r>
        <w:rPr>
          <w:rFonts w:ascii="Times New Roman" w:eastAsia="宋体" w:hAnsi="Times New Roman" w:hint="eastAsia"/>
          <w:sz w:val="24"/>
          <w:szCs w:val="24"/>
        </w:rPr>
        <w:t>5</w:t>
      </w:r>
      <w:r>
        <w:rPr>
          <w:rFonts w:ascii="宋体" w:eastAsia="宋体" w:hAnsi="宋体"/>
          <w:sz w:val="24"/>
          <w:szCs w:val="24"/>
        </w:rPr>
        <w:t>日内向主管税务机关办理相关手续；逾期未办理的，自通知时限期满的次月起按销售额依照增值税税率计</w:t>
      </w:r>
      <w:r>
        <w:rPr>
          <w:rFonts w:ascii="宋体" w:eastAsia="宋体" w:hAnsi="宋体"/>
          <w:sz w:val="24"/>
          <w:szCs w:val="24"/>
        </w:rPr>
        <w:lastRenderedPageBreak/>
        <w:t>算应纳税额，不得抵扣进项税额，直至办理相关手续为止。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Times New Roman" w:eastAsia="宋体" w:hAnsi="Times New Roman" w:hint="eastAsia"/>
          <w:sz w:val="24"/>
          <w:szCs w:val="24"/>
        </w:rPr>
        <w:t>可不办理增值税一般纳税人登记的</w:t>
      </w:r>
      <w:r>
        <w:rPr>
          <w:rFonts w:ascii="宋体" w:eastAsia="宋体" w:hAnsi="宋体"/>
          <w:sz w:val="24"/>
          <w:szCs w:val="24"/>
        </w:rPr>
        <w:t>特殊规定是指：应税销售额超过规定标准的自然人不办理增值税一般纳税人登记；非企业性单位、年应税销售额超过规定标准且不经常发生应税行为的单位和个体工商户，可选择按照小规模纳税人纳税。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税务机关核对后退还纳税人留存的《增值税一般纳税人登记表》可以作为纳税人成为增值税一般纳税人的凭据。</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纳税人登记为一般纳税人后，不得转为小规模纳税人，国家税务总局另有规定的除外。</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对税收遵从度低的一般纳税人，主管税务机关可以实行纳税辅导期管理。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从事成品油销售的加油站、航空运输企业、电信企业总机构及其分支机构，一律由主管税务机关登记为增值税一般纳税人。</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16.</w:t>
      </w:r>
      <w:r w:rsidR="00722CAA">
        <w:rPr>
          <w:rFonts w:hint="eastAsia"/>
        </w:rPr>
        <w:t xml:space="preserve">　选择按小规模纳税人纳税的情况说明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选择按小规模纳税人纳税的情况说明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非企业性单位、年应税销售额超过财政部、国家税务总局规定的增值税小规模纳税人标准且不经常发生应税行为的单位和个体工商户，可向主管税务机关提交书面说明，选择按照小规模纳税人纳税。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1.《中华人民共和国增值税暂行条例实施细则》第二十九条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2.《增值税一般纳税人登记管理办法》（国家税务总局令第43号公布）第七条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hint="eastAsia"/>
                <w:kern w:val="0"/>
                <w:sz w:val="22"/>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hint="eastAsia"/>
                <w:kern w:val="0"/>
                <w:sz w:val="22"/>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hint="eastAsia"/>
                <w:kern w:val="0"/>
                <w:sz w:val="22"/>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《选择按小规模纳税人纳税的情况说明》</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4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184140" cy="1765935"/>
            <wp:effectExtent l="0" t="0" r="12700" b="0"/>
            <wp:docPr id="18" name="图片 15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8" name="图片 157"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财政部、国家税务总局规定的增值税小规模纳税人标准为年应征增值税销售额</w:t>
      </w:r>
      <w:r>
        <w:rPr>
          <w:rFonts w:ascii="Times New Roman" w:eastAsia="宋体" w:hAnsi="Times New Roman" w:hint="eastAsia"/>
          <w:sz w:val="24"/>
          <w:szCs w:val="24"/>
        </w:rPr>
        <w:t>500</w:t>
      </w:r>
      <w:r>
        <w:rPr>
          <w:rFonts w:ascii="宋体" w:eastAsia="宋体" w:hAnsi="宋体"/>
          <w:sz w:val="24"/>
          <w:szCs w:val="24"/>
        </w:rPr>
        <w:t>万元及以下。</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纳税人年应税销售额超过财政部、国家税务总局规定的小规模纳税人标准，选择按小规模纳税人纳税的，应在年应税销售额超过规定标准的月份（季度）所属申报期结束后</w:t>
      </w:r>
      <w:r>
        <w:rPr>
          <w:rFonts w:ascii="Times New Roman" w:eastAsia="宋体" w:hAnsi="Times New Roman" w:hint="eastAsia"/>
          <w:sz w:val="24"/>
          <w:szCs w:val="24"/>
        </w:rPr>
        <w:t>15</w:t>
      </w:r>
      <w:r>
        <w:rPr>
          <w:rFonts w:ascii="宋体" w:eastAsia="宋体" w:hAnsi="宋体"/>
          <w:sz w:val="24"/>
          <w:szCs w:val="24"/>
        </w:rPr>
        <w:t>日内办理；未按规定时限办理的，在接到主管税务机关《税务事项通知书》后</w:t>
      </w:r>
      <w:r>
        <w:rPr>
          <w:rFonts w:ascii="Times New Roman" w:eastAsia="宋体" w:hAnsi="Times New Roman" w:hint="eastAsia"/>
          <w:sz w:val="24"/>
          <w:szCs w:val="24"/>
        </w:rPr>
        <w:t>5</w:t>
      </w:r>
      <w:r>
        <w:rPr>
          <w:rFonts w:ascii="宋体" w:eastAsia="宋体" w:hAnsi="宋体"/>
          <w:sz w:val="24"/>
          <w:szCs w:val="24"/>
        </w:rPr>
        <w:t>日内办理；逾期仍不办理的，次月起按销售额依照增值税税率计算应纳税额，不得抵扣进项税额，直至纳税人办理相关手续为止。</w:t>
      </w:r>
    </w:p>
    <w:p w:rsidR="00B43696" w:rsidRDefault="00722CAA">
      <w:pPr>
        <w:ind w:firstLineChars="200" w:firstLine="420"/>
      </w:pPr>
      <w:r>
        <w:br w:type="page"/>
      </w:r>
    </w:p>
    <w:p w:rsidR="00B43696" w:rsidRDefault="006927C8">
      <w:pPr>
        <w:pStyle w:val="3sunshine"/>
        <w:keepNext w:val="0"/>
        <w:wordWrap w:val="0"/>
        <w:topLinePunct w:val="0"/>
        <w:adjustRightInd/>
        <w:snapToGrid/>
        <w:spacing w:before="332" w:after="332"/>
      </w:pPr>
      <w:r>
        <w:lastRenderedPageBreak/>
        <w:t>17.</w:t>
      </w:r>
      <w:r w:rsidR="00722CAA">
        <w:rPr>
          <w:rFonts w:hint="eastAsia"/>
        </w:rPr>
        <w:t xml:space="preserve">　一般纳税人转登记小规模纳税人</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一般纳税人转登记小规模纳税人</w:t>
      </w:r>
    </w:p>
    <w:p w:rsidR="00B43696" w:rsidRDefault="00722CAA">
      <w:pPr>
        <w:wordWrap w:val="0"/>
        <w:spacing w:line="360" w:lineRule="auto"/>
        <w:ind w:firstLineChars="200" w:firstLine="480"/>
        <w:jc w:val="left"/>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jc w:val="distribute"/>
        <w:rPr>
          <w:rFonts w:ascii="宋体" w:eastAsia="宋体" w:hAnsi="宋体"/>
          <w:sz w:val="24"/>
          <w:szCs w:val="24"/>
        </w:rPr>
      </w:pPr>
      <w:r>
        <w:rPr>
          <w:rFonts w:ascii="宋体" w:eastAsia="宋体" w:hAnsi="宋体"/>
          <w:sz w:val="24"/>
          <w:szCs w:val="24"/>
        </w:rPr>
        <w:t>转登记日前连续</w:t>
      </w:r>
      <w:r>
        <w:rPr>
          <w:rFonts w:ascii="Times New Roman" w:eastAsia="宋体" w:hAnsi="Times New Roman" w:hint="eastAsia"/>
          <w:sz w:val="24"/>
          <w:szCs w:val="24"/>
        </w:rPr>
        <w:t>12</w:t>
      </w:r>
      <w:r>
        <w:rPr>
          <w:rFonts w:ascii="宋体" w:eastAsia="宋体" w:hAnsi="宋体"/>
          <w:sz w:val="24"/>
          <w:szCs w:val="24"/>
        </w:rPr>
        <w:t>个月（以</w:t>
      </w:r>
      <w:r>
        <w:rPr>
          <w:rFonts w:ascii="Times New Roman" w:eastAsia="宋体" w:hAnsi="Times New Roman" w:hint="eastAsia"/>
          <w:sz w:val="24"/>
          <w:szCs w:val="24"/>
        </w:rPr>
        <w:t>1</w:t>
      </w:r>
      <w:r>
        <w:rPr>
          <w:rFonts w:ascii="宋体" w:eastAsia="宋体" w:hAnsi="宋体"/>
          <w:sz w:val="24"/>
          <w:szCs w:val="24"/>
        </w:rPr>
        <w:t>个月为</w:t>
      </w:r>
      <w:r>
        <w:rPr>
          <w:rFonts w:ascii="Times New Roman" w:eastAsia="宋体" w:hAnsi="Times New Roman" w:hint="eastAsia"/>
          <w:sz w:val="24"/>
          <w:szCs w:val="24"/>
        </w:rPr>
        <w:t>1</w:t>
      </w:r>
      <w:r>
        <w:rPr>
          <w:rFonts w:ascii="宋体" w:eastAsia="宋体" w:hAnsi="宋体"/>
          <w:sz w:val="24"/>
          <w:szCs w:val="24"/>
        </w:rPr>
        <w:t>个纳税期）或者连续</w:t>
      </w:r>
      <w:r>
        <w:rPr>
          <w:rFonts w:ascii="Times New Roman" w:eastAsia="宋体" w:hAnsi="Times New Roman" w:hint="eastAsia"/>
          <w:sz w:val="24"/>
          <w:szCs w:val="24"/>
        </w:rPr>
        <w:t>4</w:t>
      </w:r>
      <w:r>
        <w:rPr>
          <w:rFonts w:ascii="宋体" w:eastAsia="宋体" w:hAnsi="宋体"/>
          <w:sz w:val="24"/>
          <w:szCs w:val="24"/>
        </w:rPr>
        <w:t>个季度（以</w:t>
      </w:r>
      <w:r>
        <w:rPr>
          <w:rFonts w:ascii="Times New Roman" w:eastAsia="宋体" w:hAnsi="Times New Roman" w:hint="eastAsia"/>
          <w:sz w:val="24"/>
          <w:szCs w:val="24"/>
        </w:rPr>
        <w:t>1</w:t>
      </w:r>
      <w:r>
        <w:rPr>
          <w:rFonts w:ascii="宋体" w:eastAsia="宋体" w:hAnsi="宋体"/>
          <w:sz w:val="24"/>
          <w:szCs w:val="24"/>
        </w:rPr>
        <w:t>个季度为</w:t>
      </w:r>
      <w:r>
        <w:rPr>
          <w:rFonts w:ascii="Times New Roman" w:eastAsia="宋体" w:hAnsi="Times New Roman" w:hint="eastAsia"/>
          <w:sz w:val="24"/>
          <w:szCs w:val="24"/>
        </w:rPr>
        <w:t>1</w:t>
      </w:r>
      <w:r>
        <w:rPr>
          <w:rFonts w:ascii="宋体" w:eastAsia="宋体" w:hAnsi="宋体"/>
          <w:sz w:val="24"/>
          <w:szCs w:val="24"/>
        </w:rPr>
        <w:t>个纳税期）累计销售额未超过</w:t>
      </w:r>
      <w:r>
        <w:rPr>
          <w:rFonts w:ascii="Times New Roman" w:eastAsia="宋体" w:hAnsi="Times New Roman" w:hint="eastAsia"/>
          <w:sz w:val="24"/>
          <w:szCs w:val="24"/>
        </w:rPr>
        <w:t>500</w:t>
      </w:r>
      <w:r>
        <w:rPr>
          <w:rFonts w:ascii="宋体" w:eastAsia="宋体" w:hAnsi="宋体"/>
          <w:sz w:val="24"/>
          <w:szCs w:val="24"/>
        </w:rPr>
        <w:t>万元的一般纳税人，在</w:t>
      </w:r>
      <w:r>
        <w:rPr>
          <w:rFonts w:ascii="Times New Roman" w:eastAsia="宋体" w:hAnsi="Times New Roman" w:hint="eastAsia"/>
          <w:sz w:val="24"/>
          <w:szCs w:val="24"/>
        </w:rPr>
        <w:t>2019</w:t>
      </w:r>
      <w:r>
        <w:rPr>
          <w:rFonts w:ascii="宋体" w:eastAsia="宋体" w:hAnsi="宋体"/>
          <w:sz w:val="24"/>
          <w:szCs w:val="24"/>
        </w:rPr>
        <w:t>年</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日前，可选择转登记为小规模纳税人。</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《国家税务总局关于小规模纳税人免征增值税政策有关征管问题的公告》（国家税务总局公告2019年第4号）第五条第一款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680"/>
        <w:gridCol w:w="850"/>
        <w:gridCol w:w="1740"/>
      </w:tblGrid>
      <w:tr w:rsidR="00B43696">
        <w:trPr>
          <w:trHeight w:hRule="exact" w:val="340"/>
          <w:jc w:val="center"/>
        </w:trPr>
        <w:tc>
          <w:tcPr>
            <w:tcW w:w="66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6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《一般纳税人转为小规模纳税人登记表》</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44"/>
          <w:jc w:val="center"/>
        </w:trPr>
        <w:tc>
          <w:tcPr>
            <w:tcW w:w="66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4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184140" cy="1765935"/>
            <wp:effectExtent l="0" t="0" r="12700" b="0"/>
            <wp:docPr id="19" name="图片 15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9" name="图片 158"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转登记日前经营期不满</w:t>
      </w:r>
      <w:r>
        <w:rPr>
          <w:rFonts w:ascii="Times New Roman" w:eastAsia="宋体" w:hAnsi="Times New Roman" w:hint="eastAsia"/>
          <w:sz w:val="24"/>
          <w:szCs w:val="24"/>
        </w:rPr>
        <w:t>12</w:t>
      </w:r>
      <w:r>
        <w:rPr>
          <w:rFonts w:ascii="宋体" w:eastAsia="宋体" w:hAnsi="宋体"/>
          <w:sz w:val="24"/>
          <w:szCs w:val="24"/>
        </w:rPr>
        <w:t>个月或者</w:t>
      </w:r>
      <w:r>
        <w:rPr>
          <w:rFonts w:ascii="Times New Roman" w:eastAsia="宋体" w:hAnsi="Times New Roman" w:hint="eastAsia"/>
          <w:sz w:val="24"/>
          <w:szCs w:val="24"/>
        </w:rPr>
        <w:t>4</w:t>
      </w:r>
      <w:r>
        <w:rPr>
          <w:rFonts w:ascii="宋体" w:eastAsia="宋体" w:hAnsi="宋体"/>
          <w:sz w:val="24"/>
          <w:szCs w:val="24"/>
        </w:rPr>
        <w:t>个季度的，按照月（季度）平均应税销售额估算累计应税销售额。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一般纳税人转登记为小规模纳税人（以下称转登记纳税人）后，自转登记日的下期起（按季申报纳税人自下一季度开始；按月申报纳税人自下月开始），按照简易计税方法计算缴纳增值税；转登记日当期仍按照一般纳税人的有关规定计算缴纳增值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转登记纳税人尚未申报抵扣的进项税额以及转登记日当期的期末留抵税额，计入“应交税费</w:t>
      </w:r>
      <w:r>
        <w:rPr>
          <w:rFonts w:ascii="Times New Roman" w:eastAsia="宋体" w:hAnsi="Times New Roman"/>
          <w:sz w:val="24"/>
          <w:szCs w:val="24"/>
        </w:rPr>
        <w:t>—</w:t>
      </w:r>
      <w:r>
        <w:rPr>
          <w:rFonts w:ascii="宋体" w:eastAsia="宋体" w:hAnsi="宋体"/>
          <w:sz w:val="24"/>
          <w:szCs w:val="24"/>
        </w:rPr>
        <w:t>待抵扣进项税额”核算。</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转登记纳税人在一般纳税人期间销售或者购进的货物、劳务、服务、无形资产、不动产，自转登记日的下期起发生销售折让、中止或者退回的，调整转登</w:t>
      </w:r>
      <w:r>
        <w:rPr>
          <w:rFonts w:ascii="宋体" w:eastAsia="宋体" w:hAnsi="宋体"/>
          <w:sz w:val="24"/>
          <w:szCs w:val="24"/>
        </w:rPr>
        <w:lastRenderedPageBreak/>
        <w:t>记日当期的销项税额、进项税额和应纳税额。转登记纳税人因税务稽查、补充申报等原因，需要对一般纳税人期间的销项税额、进项税额和应纳税额进行调整的，按照上述规定处理。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转登记纳税人可以继续使用现有税控设备开具增值税发票，不需要缴销税控设备和增值税发票。</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转登记纳税人自转登记日的下期起，发生增值税应税销售行为，应当按照征收率开具增值税发票；转登记日前已办理增值税专用发票票种核定的，继续通过增值税发票管理系统自行开具增值税专用发票。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自转登记日的下期起连续不超过</w:t>
      </w:r>
      <w:r>
        <w:rPr>
          <w:rFonts w:ascii="Times New Roman" w:eastAsia="宋体" w:hAnsi="Times New Roman" w:hint="eastAsia"/>
          <w:sz w:val="24"/>
          <w:szCs w:val="24"/>
        </w:rPr>
        <w:t>12</w:t>
      </w:r>
      <w:r>
        <w:rPr>
          <w:rFonts w:ascii="宋体" w:eastAsia="宋体" w:hAnsi="宋体"/>
          <w:sz w:val="24"/>
          <w:szCs w:val="24"/>
        </w:rPr>
        <w:t>个月或者连续不超过</w:t>
      </w:r>
      <w:r>
        <w:rPr>
          <w:rFonts w:ascii="Times New Roman" w:eastAsia="宋体" w:hAnsi="Times New Roman" w:hint="eastAsia"/>
          <w:sz w:val="24"/>
          <w:szCs w:val="24"/>
        </w:rPr>
        <w:t>4</w:t>
      </w:r>
      <w:r>
        <w:rPr>
          <w:rFonts w:ascii="宋体" w:eastAsia="宋体" w:hAnsi="宋体"/>
          <w:sz w:val="24"/>
          <w:szCs w:val="24"/>
        </w:rPr>
        <w:t>个季度的经营期内，转登记纳税人应税销售额超过财政部、国家税务总局规定的小规模纳税人标准的，应当按照《增值税一般纳税人登记管理办法》（国家税务总局令第</w:t>
      </w:r>
      <w:r>
        <w:rPr>
          <w:rFonts w:ascii="Times New Roman" w:eastAsia="宋体" w:hAnsi="Times New Roman" w:hint="eastAsia"/>
          <w:sz w:val="24"/>
          <w:szCs w:val="24"/>
        </w:rPr>
        <w:t>43</w:t>
      </w:r>
      <w:r>
        <w:rPr>
          <w:rFonts w:ascii="宋体" w:eastAsia="宋体" w:hAnsi="宋体"/>
          <w:sz w:val="24"/>
          <w:szCs w:val="24"/>
        </w:rPr>
        <w:t>号公布）的有关规定，向主管税务机关办理一般纳税人登记。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曾在</w:t>
      </w:r>
      <w:r>
        <w:rPr>
          <w:rFonts w:ascii="Times New Roman" w:eastAsia="宋体" w:hAnsi="Times New Roman" w:hint="eastAsia"/>
          <w:sz w:val="24"/>
          <w:szCs w:val="24"/>
        </w:rPr>
        <w:t>2018</w:t>
      </w:r>
      <w:r>
        <w:rPr>
          <w:rFonts w:ascii="宋体" w:eastAsia="宋体" w:hAnsi="宋体"/>
          <w:sz w:val="24"/>
          <w:szCs w:val="24"/>
        </w:rPr>
        <w:t>年选择过转登记的纳税人，重新登记为一般纳税人的，在</w:t>
      </w:r>
      <w:r>
        <w:rPr>
          <w:rFonts w:ascii="Times New Roman" w:eastAsia="宋体" w:hAnsi="Times New Roman" w:hint="eastAsia"/>
          <w:sz w:val="24"/>
          <w:szCs w:val="24"/>
        </w:rPr>
        <w:t>2019</w:t>
      </w:r>
      <w:r>
        <w:rPr>
          <w:rFonts w:ascii="宋体" w:eastAsia="宋体" w:hAnsi="宋体"/>
          <w:sz w:val="24"/>
          <w:szCs w:val="24"/>
        </w:rPr>
        <w:t>年仍可选择转登记；</w:t>
      </w:r>
      <w:r>
        <w:rPr>
          <w:rFonts w:ascii="Times New Roman" w:eastAsia="宋体" w:hAnsi="Times New Roman" w:hint="eastAsia"/>
          <w:sz w:val="24"/>
          <w:szCs w:val="24"/>
        </w:rPr>
        <w:t>2019</w:t>
      </w:r>
      <w:r>
        <w:rPr>
          <w:rFonts w:ascii="宋体" w:eastAsia="宋体" w:hAnsi="宋体"/>
          <w:sz w:val="24"/>
          <w:szCs w:val="24"/>
        </w:rPr>
        <w:t>年选择转登记的纳税人，再次登记为一般纳税人后，不得再转登记为小规模纳税人。</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12</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18.</w:t>
      </w:r>
      <w:r w:rsidR="00722CAA">
        <w:rPr>
          <w:rFonts w:hint="eastAsia"/>
        </w:rPr>
        <w:t xml:space="preserve">　货物运输业小规模纳税人异地代开增值税专用发票备案</w:t>
      </w:r>
    </w:p>
    <w:p w:rsidR="00B43696" w:rsidRDefault="00722CAA">
      <w:pPr>
        <w:wordWrap w:val="0"/>
        <w:spacing w:line="360" w:lineRule="auto"/>
        <w:ind w:firstLineChars="200" w:firstLine="480"/>
        <w:rPr>
          <w:rFonts w:ascii="黑体" w:eastAsia="黑体" w:hAnsi="黑体"/>
          <w:bCs/>
          <w:sz w:val="24"/>
          <w:szCs w:val="24"/>
        </w:rPr>
      </w:pPr>
      <w:bookmarkStart w:id="43" w:name="_Hlk15997049"/>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货物运输业小规模纳税人</w:t>
      </w:r>
      <w:bookmarkEnd w:id="43"/>
      <w:r>
        <w:rPr>
          <w:rFonts w:ascii="宋体" w:eastAsia="宋体" w:hAnsi="宋体" w:hint="eastAsia"/>
          <w:sz w:val="24"/>
          <w:szCs w:val="24"/>
        </w:rPr>
        <w:t>异地代开增值税专用发票备案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1.货物运输业</w:t>
      </w:r>
      <w:r>
        <w:rPr>
          <w:rFonts w:ascii="宋体" w:eastAsia="宋体" w:hAnsi="宋体"/>
          <w:sz w:val="24"/>
          <w:szCs w:val="24"/>
        </w:rPr>
        <w:t>小规模纳税人在境内提供公路或内河货物运输服务，需要开具增值税专用发票的，可在税务登记地、货物起运地、货物到达地或运输业务承揽地（含互联网物流平台所在地）中任何一地，就近向税务机关申请代开增值税专用发票。纳税人应当将营运资质和营运机动车、船舶信息向主管税务机关备案。</w:t>
      </w:r>
    </w:p>
    <w:p w:rsidR="00B43696" w:rsidRDefault="00722CAA">
      <w:pPr>
        <w:wordWrap w:val="0"/>
        <w:spacing w:line="360" w:lineRule="auto"/>
        <w:ind w:firstLineChars="200" w:firstLine="480"/>
        <w:rPr>
          <w:rFonts w:ascii="宋体" w:eastAsia="宋体" w:hAnsi="宋体"/>
          <w:szCs w:val="24"/>
        </w:rPr>
      </w:pPr>
      <w:r>
        <w:rPr>
          <w:rFonts w:ascii="宋体" w:eastAsia="宋体" w:hAnsi="宋体"/>
          <w:sz w:val="24"/>
          <w:szCs w:val="24"/>
          <w:shd w:val="clear" w:color="auto" w:fill="FFFFFF"/>
        </w:rPr>
        <w:t>2.申请代开增值税专用发票货物运输业小规模纳税人，应符合以下条件：</w:t>
      </w:r>
      <w:r>
        <w:rPr>
          <w:rFonts w:ascii="宋体" w:eastAsia="宋体" w:hAnsi="宋体" w:hint="eastAsia"/>
          <w:sz w:val="24"/>
          <w:szCs w:val="24"/>
          <w:shd w:val="clear" w:color="auto" w:fill="FFFFFF"/>
        </w:rPr>
        <w:t>（1）在中华人民共和国境内提供公路或内河货物运输服务，并办理了工商登记和税务登记。（2）</w:t>
      </w:r>
      <w:r>
        <w:rPr>
          <w:rFonts w:ascii="宋体" w:eastAsia="宋体" w:hAnsi="宋体"/>
          <w:sz w:val="24"/>
          <w:szCs w:val="24"/>
          <w:shd w:val="clear" w:color="auto" w:fill="FFFFFF"/>
        </w:rPr>
        <w:t>提供公路货物运输服务的（以4.5吨及以下普通货运车辆从事普通道路货物运输经营的除外），取得《中华人民共和国道路运输经营许可证》和《中华人民共和国</w:t>
      </w:r>
      <w:r>
        <w:rPr>
          <w:rFonts w:ascii="宋体" w:eastAsia="宋体" w:hAnsi="宋体" w:hint="eastAsia"/>
          <w:sz w:val="24"/>
          <w:szCs w:val="24"/>
          <w:shd w:val="clear" w:color="auto" w:fill="FFFFFF"/>
        </w:rPr>
        <w:t>道路运输证》；提供内河货物运输服务的，取得《国内水路运输经营许可证》和《船舶营业运输证》。（3）在税务登记地主管税务机关按增值税小规模纳税人管理。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《货物运输业小规模纳税人申请代开增值税专用发票管理办法》</w:t>
      </w:r>
      <w:r>
        <w:rPr>
          <w:rFonts w:ascii="宋体" w:eastAsia="宋体" w:hAnsi="宋体"/>
          <w:sz w:val="24"/>
          <w:szCs w:val="24"/>
        </w:rPr>
        <w:t>(国家税务总局公告2017年第55号)</w:t>
      </w:r>
      <w:r>
        <w:rPr>
          <w:rFonts w:ascii="宋体" w:eastAsia="宋体" w:hAnsi="宋体" w:hint="eastAsia"/>
          <w:sz w:val="24"/>
          <w:szCs w:val="24"/>
        </w:rPr>
        <w:t>第四条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63"/>
        <w:gridCol w:w="3395"/>
        <w:gridCol w:w="137"/>
        <w:gridCol w:w="703"/>
        <w:gridCol w:w="1231"/>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51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5158"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《货物运输业小规模纳税人异地代开增值税专用发票备案表》</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23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79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4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53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1485"/>
          <w:jc w:val="center"/>
        </w:trPr>
        <w:tc>
          <w:tcPr>
            <w:tcW w:w="2467"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公路货物运输服务的纳税人（以4.5吨及以下普通货运车辆从事普通道路货物运输经营的除外）</w:t>
            </w:r>
          </w:p>
        </w:tc>
        <w:tc>
          <w:tcPr>
            <w:tcW w:w="3532"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《中华人民共和国道路运输经营许可证》《中华人民共和国道路运输证》原件</w:t>
            </w:r>
          </w:p>
        </w:tc>
        <w:tc>
          <w:tcPr>
            <w:tcW w:w="703"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231"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B43696">
        <w:trPr>
          <w:trHeight w:hRule="exact" w:val="737"/>
          <w:jc w:val="center"/>
        </w:trPr>
        <w:tc>
          <w:tcPr>
            <w:tcW w:w="2467"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内河货物运输的纳税人</w:t>
            </w:r>
          </w:p>
        </w:tc>
        <w:tc>
          <w:tcPr>
            <w:tcW w:w="3532" w:type="dxa"/>
            <w:gridSpan w:val="2"/>
            <w:tcBorders>
              <w:left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cs="Microsoft Himalaya"/>
                <w:sz w:val="18"/>
                <w:szCs w:val="18"/>
              </w:rPr>
            </w:pPr>
            <w:r>
              <w:rPr>
                <w:rFonts w:ascii="黑体" w:eastAsia="黑体" w:hAnsi="黑体" w:cs="Microsoft Himalaya" w:hint="eastAsia"/>
                <w:sz w:val="18"/>
                <w:szCs w:val="18"/>
              </w:rPr>
              <w:t>《国内水路运输经营许可证》、</w:t>
            </w:r>
          </w:p>
          <w:p w:rsidR="00B43696" w:rsidRDefault="00722CAA">
            <w:pPr>
              <w:wordWrap w:val="0"/>
              <w:ind w:firstLineChars="200" w:firstLine="360"/>
              <w:jc w:val="center"/>
              <w:rPr>
                <w:rFonts w:ascii="黑体" w:eastAsia="黑体" w:hAnsi="黑体" w:cs="Microsoft Himalaya"/>
                <w:sz w:val="18"/>
                <w:szCs w:val="18"/>
              </w:rPr>
            </w:pPr>
            <w:r>
              <w:rPr>
                <w:rFonts w:ascii="黑体" w:eastAsia="黑体" w:hAnsi="黑体" w:cs="Microsoft Himalaya" w:hint="eastAsia"/>
                <w:sz w:val="18"/>
                <w:szCs w:val="18"/>
              </w:rPr>
              <w:t>《船舶营业运输证》</w:t>
            </w:r>
            <w:r>
              <w:rPr>
                <w:rFonts w:ascii="黑体" w:eastAsia="黑体" w:hAnsi="黑体" w:cs="Microsoft Himalaya"/>
                <w:sz w:val="18"/>
                <w:szCs w:val="18"/>
              </w:rPr>
              <w:t>原件</w:t>
            </w:r>
          </w:p>
        </w:tc>
        <w:tc>
          <w:tcPr>
            <w:tcW w:w="703"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231"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4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0" name="图片 15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0" name="图片 159"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bCs/>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w:t>
      </w:r>
      <w:r>
        <w:rPr>
          <w:rFonts w:ascii="宋体" w:eastAsia="宋体" w:hAnsi="宋体"/>
          <w:sz w:val="24"/>
          <w:szCs w:val="24"/>
        </w:rPr>
        <w:lastRenderedPageBreak/>
        <w:t>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w:t>
      </w:r>
      <w:r>
        <w:rPr>
          <w:rFonts w:ascii="宋体" w:eastAsia="宋体" w:hAnsi="宋体" w:hint="eastAsia"/>
          <w:sz w:val="24"/>
          <w:szCs w:val="24"/>
        </w:rPr>
        <w:t>在</w:t>
      </w:r>
      <w:r>
        <w:rPr>
          <w:rFonts w:ascii="宋体" w:eastAsia="宋体" w:hAnsi="宋体"/>
          <w:sz w:val="24"/>
          <w:szCs w:val="24"/>
        </w:rPr>
        <w:t>《</w:t>
      </w:r>
      <w:r>
        <w:rPr>
          <w:rFonts w:ascii="宋体" w:eastAsia="宋体" w:hAnsi="宋体" w:hint="eastAsia"/>
          <w:sz w:val="24"/>
          <w:szCs w:val="24"/>
        </w:rPr>
        <w:t>货物运输业代开增值税专用发票缴纳税款申报单</w:t>
      </w:r>
      <w:r>
        <w:rPr>
          <w:rFonts w:ascii="宋体" w:eastAsia="宋体" w:hAnsi="宋体"/>
          <w:sz w:val="24"/>
          <w:szCs w:val="24"/>
        </w:rPr>
        <w:t>》中填写的运输工具相关信息，</w:t>
      </w:r>
      <w:r>
        <w:rPr>
          <w:rFonts w:ascii="宋体" w:eastAsia="宋体" w:hAnsi="宋体" w:hint="eastAsia"/>
          <w:sz w:val="24"/>
          <w:szCs w:val="24"/>
        </w:rPr>
        <w:t>需</w:t>
      </w:r>
      <w:r>
        <w:rPr>
          <w:rFonts w:ascii="宋体" w:eastAsia="宋体" w:hAnsi="宋体"/>
          <w:sz w:val="24"/>
          <w:szCs w:val="24"/>
        </w:rPr>
        <w:t>与其向主管税务机关备案的信息一致。</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19.</w:t>
      </w:r>
      <w:r w:rsidR="00722CAA">
        <w:rPr>
          <w:rFonts w:hint="eastAsia"/>
        </w:rPr>
        <w:t xml:space="preserve">　增值税适用加计抵减政策声明</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增值税适用加计抵减政策声明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自2019年4月1日至2021年12月31日，允许生产、生活性服务业纳税人按照当期可抵扣进项税额加计10%，抵减应纳税额。纳税人在年度首次确认适用10%加计抵减政策时，应向主管税务机关提交《适用加计抵减政策的声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生产、生活性服务业纳税人，指提供邮政服务、电信服务、现代服务、生活服务取得的销售额占全部销售额的比重超过50%的纳税人。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2.自2019年10月1日至2021年12月31日，允许生活性服务业纳税人按照当期可抵扣进项税额加计15%，抵减应纳税额。纳税人在年度首次确认适用1</w:t>
      </w:r>
      <w:r>
        <w:rPr>
          <w:rFonts w:ascii="宋体" w:eastAsia="宋体" w:hAnsi="宋体" w:hint="eastAsia"/>
          <w:sz w:val="24"/>
          <w:szCs w:val="24"/>
        </w:rPr>
        <w:t>5</w:t>
      </w:r>
      <w:r>
        <w:rPr>
          <w:rFonts w:ascii="宋体" w:eastAsia="宋体" w:hAnsi="宋体"/>
          <w:sz w:val="24"/>
          <w:szCs w:val="24"/>
        </w:rPr>
        <w:t>%加计抵减政策时，应向主管税务机关提交《适用15%加计抵减政策的声明》。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生活性服务业纳税人，是指提供生活服务取得的销售额占全部销售额的比重超过50%的纳税人。</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《国家税务总局关于深化增值税改革有关事项的公告》（国家税务总局公告2019年第14号）第八条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《财政部 税务总局关于明确生活性服务业增值税加计抵减政策的公告》（财政部 税务总局公告2019年第87号）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3532"/>
        <w:gridCol w:w="703"/>
        <w:gridCol w:w="1231"/>
      </w:tblGrid>
      <w:tr w:rsidR="00B43696">
        <w:trPr>
          <w:trHeight w:hRule="exact" w:val="340"/>
          <w:jc w:val="center"/>
        </w:trPr>
        <w:tc>
          <w:tcPr>
            <w:tcW w:w="793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有以下情形的，应提供相应材料</w:t>
            </w:r>
          </w:p>
        </w:tc>
      </w:tr>
      <w:tr w:rsidR="00B43696">
        <w:trPr>
          <w:trHeight w:hRule="exact" w:val="340"/>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 w:val="18"/>
                <w:szCs w:val="18"/>
              </w:rPr>
            </w:pPr>
            <w:r>
              <w:rPr>
                <w:rFonts w:ascii="黑体" w:eastAsia="黑体" w:hAnsi="黑体"/>
                <w:szCs w:val="21"/>
              </w:rPr>
              <w:t>适用情形</w:t>
            </w:r>
          </w:p>
        </w:tc>
        <w:tc>
          <w:tcPr>
            <w:tcW w:w="353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 w:val="18"/>
                <w:szCs w:val="18"/>
              </w:rPr>
            </w:pPr>
            <w:r>
              <w:rPr>
                <w:rFonts w:ascii="黑体" w:eastAsia="黑体" w:hAnsi="黑体"/>
                <w:szCs w:val="21"/>
              </w:rPr>
              <w:t>材料名称</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 w:val="18"/>
                <w:szCs w:val="18"/>
              </w:rPr>
            </w:pPr>
            <w:r>
              <w:rPr>
                <w:rFonts w:ascii="黑体" w:eastAsia="黑体" w:hAnsi="黑体"/>
                <w:szCs w:val="21"/>
              </w:rPr>
              <w:t>数量</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Times New Roman" w:eastAsia="仿宋_GB2312" w:hAnsi="Times New Roman"/>
                <w:sz w:val="24"/>
                <w:szCs w:val="24"/>
              </w:rPr>
            </w:pPr>
            <w:r>
              <w:rPr>
                <w:rFonts w:ascii="黑体" w:eastAsia="黑体" w:hAnsi="黑体"/>
                <w:szCs w:val="21"/>
              </w:rPr>
              <w:t>备注</w:t>
            </w:r>
          </w:p>
        </w:tc>
      </w:tr>
      <w:tr w:rsidR="00B43696">
        <w:trPr>
          <w:trHeight w:hRule="exact" w:val="709"/>
          <w:jc w:val="center"/>
        </w:trPr>
        <w:tc>
          <w:tcPr>
            <w:tcW w:w="246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符合条件的生产、生活性服务业纳税人</w:t>
            </w:r>
          </w:p>
        </w:tc>
        <w:tc>
          <w:tcPr>
            <w:tcW w:w="35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《适用加计抵减政策的声明》</w:t>
            </w:r>
          </w:p>
        </w:tc>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23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09"/>
          <w:jc w:val="center"/>
        </w:trPr>
        <w:tc>
          <w:tcPr>
            <w:tcW w:w="246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符合条件的生活性服务业纳税人</w:t>
            </w:r>
          </w:p>
        </w:tc>
        <w:tc>
          <w:tcPr>
            <w:tcW w:w="35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《适用15%加计抵减政策的声明》</w:t>
            </w:r>
          </w:p>
        </w:tc>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23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可通过办税服务厅（场所）、新疆维吾尔自治区电子税务局办理，办税服务</w:t>
      </w:r>
      <w:r>
        <w:rPr>
          <w:rFonts w:ascii="宋体" w:eastAsia="宋体" w:hAnsi="宋体" w:hint="eastAsia"/>
          <w:bCs w:val="0"/>
        </w:rPr>
        <w:lastRenderedPageBreak/>
        <w:t>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4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pStyle w:val="af5"/>
        <w:wordWrap w:val="0"/>
        <w:adjustRightInd/>
        <w:snapToGrid/>
        <w:rPr>
          <w:rFonts w:ascii="宋体" w:eastAsia="宋体" w:hAnsi="宋体"/>
          <w:bCs w:val="0"/>
        </w:rPr>
      </w:pPr>
      <w:r>
        <w:rPr>
          <w:noProof/>
        </w:rPr>
        <w:drawing>
          <wp:inline distT="0" distB="0" distL="114300" distR="114300">
            <wp:extent cx="5184140" cy="1765935"/>
            <wp:effectExtent l="0" t="0" r="12700" b="0"/>
            <wp:docPr id="21" name="图片 16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1" name="图片 160"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pStyle w:val="af0"/>
        <w:wordWrap w:val="0"/>
        <w:spacing w:line="360" w:lineRule="auto"/>
        <w:ind w:firstLineChars="200" w:firstLine="480"/>
        <w:jc w:val="both"/>
        <w:rPr>
          <w:rFonts w:ascii="宋体" w:eastAsia="宋体" w:hAnsi="宋体" w:cs="宋体"/>
          <w:szCs w:val="24"/>
        </w:rPr>
      </w:pPr>
      <w:r>
        <w:rPr>
          <w:rFonts w:ascii="Times New Roman" w:eastAsia="宋体" w:hAnsi="Times New Roman" w:hint="eastAsia"/>
          <w:szCs w:val="24"/>
        </w:rPr>
        <w:lastRenderedPageBreak/>
        <w:t>4</w:t>
      </w:r>
      <w:r>
        <w:rPr>
          <w:rFonts w:ascii="宋体" w:eastAsia="宋体" w:hAnsi="宋体" w:cs="宋体" w:hint="eastAsia"/>
          <w:szCs w:val="24"/>
        </w:rPr>
        <w:t>.</w:t>
      </w:r>
      <w:r>
        <w:rPr>
          <w:rFonts w:ascii="宋体" w:eastAsia="宋体" w:hAnsi="宋体" w:cs="宋体" w:hint="eastAsia"/>
          <w:szCs w:val="24"/>
          <w:shd w:val="clear" w:color="auto" w:fill="FFFFFF"/>
        </w:rPr>
        <w:t>加计抵减政策适用所称“销售额”，包括纳税申报销售额、稽查查补销售额、纳税评估调整销售额。其中，纳税申报销售额包括一般计税方法销售额，简易计税方法销售额，免税销售额，税务机关代开发票销售额，免、抵、退办法出口销售额，即征即退项目销售额。</w:t>
      </w:r>
    </w:p>
    <w:p w:rsidR="00B43696" w:rsidRDefault="00722CAA">
      <w:pPr>
        <w:pStyle w:val="af0"/>
        <w:wordWrap w:val="0"/>
        <w:spacing w:line="360" w:lineRule="auto"/>
        <w:ind w:firstLineChars="200" w:firstLine="480"/>
        <w:jc w:val="both"/>
        <w:rPr>
          <w:rFonts w:ascii="宋体" w:eastAsia="宋体" w:hAnsi="宋体" w:cs="宋体"/>
          <w:szCs w:val="24"/>
        </w:rPr>
      </w:pPr>
      <w:r>
        <w:rPr>
          <w:rFonts w:ascii="宋体" w:eastAsia="宋体" w:hAnsi="宋体" w:cs="宋体" w:hint="eastAsia"/>
          <w:szCs w:val="24"/>
          <w:shd w:val="clear" w:color="auto" w:fill="FFFFFF"/>
        </w:rPr>
        <w:t>稽查查补销售额和纳税评估调整销售额，计入查补或评估调整当期销售额确定适用加计抵减政策；适用增值税差额征收政策的，以差额后的销售额确定适用加计抵减政策。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5.</w:t>
      </w:r>
      <w:r>
        <w:rPr>
          <w:rFonts w:ascii="Times New Roman" w:eastAsia="宋体" w:hAnsi="Times New Roman" w:hint="eastAsia"/>
          <w:szCs w:val="24"/>
        </w:rPr>
        <w:t>适用</w:t>
      </w:r>
      <w:r>
        <w:rPr>
          <w:rFonts w:ascii="Times New Roman" w:eastAsia="宋体" w:hAnsi="Times New Roman" w:hint="eastAsia"/>
          <w:szCs w:val="24"/>
        </w:rPr>
        <w:t>10%</w:t>
      </w:r>
      <w:r>
        <w:rPr>
          <w:rFonts w:ascii="Times New Roman" w:eastAsia="宋体" w:hAnsi="Times New Roman" w:hint="eastAsia"/>
          <w:szCs w:val="24"/>
        </w:rPr>
        <w:t>加计抵减政策的生产、生活性服务业纳税人，应符合以下条件：</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w:t>
      </w:r>
      <w:r>
        <w:rPr>
          <w:rFonts w:ascii="Times New Roman" w:eastAsia="宋体" w:hAnsi="Times New Roman" w:hint="eastAsia"/>
          <w:szCs w:val="24"/>
        </w:rPr>
        <w:t>31</w:t>
      </w:r>
      <w:r>
        <w:rPr>
          <w:rFonts w:ascii="Times New Roman" w:eastAsia="宋体" w:hAnsi="Times New Roman" w:hint="eastAsia"/>
          <w:szCs w:val="24"/>
        </w:rPr>
        <w:t>日前设立的纳税人，自</w:t>
      </w:r>
      <w:r>
        <w:rPr>
          <w:rFonts w:ascii="Times New Roman" w:eastAsia="宋体" w:hAnsi="Times New Roman" w:hint="eastAsia"/>
          <w:szCs w:val="24"/>
        </w:rPr>
        <w:t>2018</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月至</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月期间的销售额</w:t>
      </w:r>
      <w:r>
        <w:rPr>
          <w:rFonts w:ascii="Times New Roman" w:eastAsia="宋体" w:hAnsi="Times New Roman" w:hint="eastAsia"/>
          <w:szCs w:val="24"/>
        </w:rPr>
        <w:t>(</w:t>
      </w:r>
      <w:r>
        <w:rPr>
          <w:rFonts w:ascii="Times New Roman" w:eastAsia="宋体" w:hAnsi="Times New Roman" w:hint="eastAsia"/>
          <w:szCs w:val="24"/>
        </w:rPr>
        <w:t>经营期不满</w:t>
      </w:r>
      <w:r>
        <w:rPr>
          <w:rFonts w:ascii="Times New Roman" w:eastAsia="宋体" w:hAnsi="Times New Roman" w:hint="eastAsia"/>
          <w:szCs w:val="24"/>
        </w:rPr>
        <w:t>12</w:t>
      </w:r>
      <w:r>
        <w:rPr>
          <w:rFonts w:ascii="Times New Roman" w:eastAsia="宋体" w:hAnsi="Times New Roman" w:hint="eastAsia"/>
          <w:szCs w:val="24"/>
        </w:rPr>
        <w:t>个月的，按照实际经营期的销售额</w:t>
      </w:r>
      <w:r>
        <w:rPr>
          <w:rFonts w:ascii="Times New Roman" w:eastAsia="宋体" w:hAnsi="Times New Roman" w:hint="eastAsia"/>
          <w:szCs w:val="24"/>
        </w:rPr>
        <w:t>)</w:t>
      </w:r>
      <w:r>
        <w:rPr>
          <w:rFonts w:ascii="Times New Roman" w:eastAsia="宋体" w:hAnsi="Times New Roman" w:hint="eastAsia"/>
          <w:szCs w:val="24"/>
        </w:rPr>
        <w:t>符合规定条件的，自</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日起适用加计抵减政策；其中，</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w:t>
      </w:r>
      <w:r>
        <w:rPr>
          <w:rFonts w:ascii="Times New Roman" w:eastAsia="宋体" w:hAnsi="Times New Roman" w:hint="eastAsia"/>
          <w:szCs w:val="24"/>
        </w:rPr>
        <w:t>31</w:t>
      </w:r>
      <w:r>
        <w:rPr>
          <w:rFonts w:ascii="Times New Roman" w:eastAsia="宋体" w:hAnsi="Times New Roman" w:hint="eastAsia"/>
          <w:szCs w:val="24"/>
        </w:rPr>
        <w:t>日前设立，且</w:t>
      </w:r>
      <w:r>
        <w:rPr>
          <w:rFonts w:ascii="Times New Roman" w:eastAsia="宋体" w:hAnsi="Times New Roman" w:hint="eastAsia"/>
          <w:szCs w:val="24"/>
        </w:rPr>
        <w:t>2018</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月至</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月期间销售额均为零的纳税人，以首次产生销售额当月起连续</w:t>
      </w:r>
      <w:r>
        <w:rPr>
          <w:rFonts w:ascii="Times New Roman" w:eastAsia="宋体" w:hAnsi="Times New Roman" w:hint="eastAsia"/>
          <w:szCs w:val="24"/>
        </w:rPr>
        <w:t>3</w:t>
      </w:r>
      <w:r>
        <w:rPr>
          <w:rFonts w:ascii="Times New Roman" w:eastAsia="宋体" w:hAnsi="Times New Roman" w:hint="eastAsia"/>
          <w:szCs w:val="24"/>
        </w:rPr>
        <w:t>个月的销售额确定适用加计抵减政策。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日后设立的纳税人，自设立之日起</w:t>
      </w:r>
      <w:r>
        <w:rPr>
          <w:rFonts w:ascii="Times New Roman" w:eastAsia="宋体" w:hAnsi="Times New Roman" w:hint="eastAsia"/>
          <w:szCs w:val="24"/>
        </w:rPr>
        <w:t>3</w:t>
      </w:r>
      <w:r>
        <w:rPr>
          <w:rFonts w:ascii="Times New Roman" w:eastAsia="宋体" w:hAnsi="Times New Roman" w:hint="eastAsia"/>
          <w:szCs w:val="24"/>
        </w:rPr>
        <w:t>个月的销售额符合规定条件的，自登记为一般纳税人之日起适用加计抵减政策。其中，</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日后设立，且自设立之日起</w:t>
      </w:r>
      <w:r>
        <w:rPr>
          <w:rFonts w:ascii="Times New Roman" w:eastAsia="宋体" w:hAnsi="Times New Roman" w:hint="eastAsia"/>
          <w:szCs w:val="24"/>
        </w:rPr>
        <w:t>3</w:t>
      </w:r>
      <w:r>
        <w:rPr>
          <w:rFonts w:ascii="Times New Roman" w:eastAsia="宋体" w:hAnsi="Times New Roman" w:hint="eastAsia"/>
          <w:szCs w:val="24"/>
        </w:rPr>
        <w:t>个月的销售额均为零的纳税人，以首次产生销售额当月起连续</w:t>
      </w:r>
      <w:r>
        <w:rPr>
          <w:rFonts w:ascii="Times New Roman" w:eastAsia="宋体" w:hAnsi="Times New Roman" w:hint="eastAsia"/>
          <w:szCs w:val="24"/>
        </w:rPr>
        <w:t>3</w:t>
      </w:r>
      <w:r>
        <w:rPr>
          <w:rFonts w:ascii="Times New Roman" w:eastAsia="宋体" w:hAnsi="Times New Roman" w:hint="eastAsia"/>
          <w:szCs w:val="24"/>
        </w:rPr>
        <w:t>个月的销售额确定适用加计抵减政策。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6.</w:t>
      </w:r>
      <w:r>
        <w:rPr>
          <w:rFonts w:ascii="Times New Roman" w:eastAsia="宋体" w:hAnsi="Times New Roman" w:hint="eastAsia"/>
          <w:szCs w:val="24"/>
        </w:rPr>
        <w:t>适用</w:t>
      </w:r>
      <w:r>
        <w:rPr>
          <w:rFonts w:ascii="Times New Roman" w:eastAsia="宋体" w:hAnsi="Times New Roman" w:hint="eastAsia"/>
          <w:szCs w:val="24"/>
        </w:rPr>
        <w:t>15%</w:t>
      </w:r>
      <w:r>
        <w:rPr>
          <w:rFonts w:ascii="Times New Roman" w:eastAsia="宋体" w:hAnsi="Times New Roman" w:hint="eastAsia"/>
          <w:szCs w:val="24"/>
        </w:rPr>
        <w:t>加计抵减政策的生活性服务业纳税人，应符合以下条件：</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9</w:t>
      </w:r>
      <w:r>
        <w:rPr>
          <w:rFonts w:ascii="Times New Roman" w:eastAsia="宋体" w:hAnsi="Times New Roman" w:hint="eastAsia"/>
          <w:szCs w:val="24"/>
        </w:rPr>
        <w:t>月</w:t>
      </w:r>
      <w:r>
        <w:rPr>
          <w:rFonts w:ascii="Times New Roman" w:eastAsia="宋体" w:hAnsi="Times New Roman" w:hint="eastAsia"/>
          <w:szCs w:val="24"/>
        </w:rPr>
        <w:t>30</w:t>
      </w:r>
      <w:r>
        <w:rPr>
          <w:rFonts w:ascii="Times New Roman" w:eastAsia="宋体" w:hAnsi="Times New Roman" w:hint="eastAsia"/>
          <w:szCs w:val="24"/>
        </w:rPr>
        <w:t>日前设立的纳税人，自</w:t>
      </w:r>
      <w:r>
        <w:rPr>
          <w:rFonts w:ascii="Times New Roman" w:eastAsia="宋体" w:hAnsi="Times New Roman" w:hint="eastAsia"/>
          <w:szCs w:val="24"/>
        </w:rPr>
        <w:t>2018</w:t>
      </w:r>
      <w:r>
        <w:rPr>
          <w:rFonts w:ascii="Times New Roman" w:eastAsia="宋体" w:hAnsi="Times New Roman" w:hint="eastAsia"/>
          <w:szCs w:val="24"/>
        </w:rPr>
        <w:t>年</w:t>
      </w:r>
      <w:r>
        <w:rPr>
          <w:rFonts w:ascii="Times New Roman" w:eastAsia="宋体" w:hAnsi="Times New Roman" w:hint="eastAsia"/>
          <w:szCs w:val="24"/>
        </w:rPr>
        <w:t>10</w:t>
      </w:r>
      <w:r>
        <w:rPr>
          <w:rFonts w:ascii="Times New Roman" w:eastAsia="宋体" w:hAnsi="Times New Roman" w:hint="eastAsia"/>
          <w:szCs w:val="24"/>
        </w:rPr>
        <w:t>月至</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9</w:t>
      </w:r>
      <w:r>
        <w:rPr>
          <w:rFonts w:ascii="Times New Roman" w:eastAsia="宋体" w:hAnsi="Times New Roman" w:hint="eastAsia"/>
          <w:szCs w:val="24"/>
        </w:rPr>
        <w:t>月期间的销售额（经营期不满</w:t>
      </w:r>
      <w:r>
        <w:rPr>
          <w:rFonts w:ascii="Times New Roman" w:eastAsia="宋体" w:hAnsi="Times New Roman" w:hint="eastAsia"/>
          <w:szCs w:val="24"/>
        </w:rPr>
        <w:t>12</w:t>
      </w:r>
      <w:r>
        <w:rPr>
          <w:rFonts w:ascii="Times New Roman" w:eastAsia="宋体" w:hAnsi="Times New Roman" w:hint="eastAsia"/>
          <w:szCs w:val="24"/>
        </w:rPr>
        <w:t>个月的，按照实际经营期的销售额）符合规定条件的，自</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10</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日起适用加计抵减</w:t>
      </w:r>
      <w:r>
        <w:rPr>
          <w:rFonts w:ascii="Times New Roman" w:eastAsia="宋体" w:hAnsi="Times New Roman" w:hint="eastAsia"/>
          <w:szCs w:val="24"/>
        </w:rPr>
        <w:t>15%</w:t>
      </w:r>
      <w:r>
        <w:rPr>
          <w:rFonts w:ascii="Times New Roman" w:eastAsia="宋体" w:hAnsi="Times New Roman" w:hint="eastAsia"/>
          <w:szCs w:val="24"/>
        </w:rPr>
        <w:t>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10</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日后设立的纳税人，自设立之日起</w:t>
      </w:r>
      <w:r>
        <w:rPr>
          <w:rFonts w:ascii="Times New Roman" w:eastAsia="宋体" w:hAnsi="Times New Roman" w:hint="eastAsia"/>
          <w:szCs w:val="24"/>
        </w:rPr>
        <w:t>3</w:t>
      </w:r>
      <w:r>
        <w:rPr>
          <w:rFonts w:ascii="Times New Roman" w:eastAsia="宋体" w:hAnsi="Times New Roman" w:hint="eastAsia"/>
          <w:szCs w:val="24"/>
        </w:rPr>
        <w:t>个月的销售额符合规定条件的，自登记为一般纳税人之日起适用加计抵减</w:t>
      </w:r>
      <w:r>
        <w:rPr>
          <w:rFonts w:ascii="Times New Roman" w:eastAsia="宋体" w:hAnsi="Times New Roman" w:hint="eastAsia"/>
          <w:szCs w:val="24"/>
        </w:rPr>
        <w:t>15%</w:t>
      </w:r>
      <w:r>
        <w:rPr>
          <w:rFonts w:ascii="Times New Roman" w:eastAsia="宋体" w:hAnsi="Times New Roman" w:hint="eastAsia"/>
          <w:szCs w:val="24"/>
        </w:rPr>
        <w:t>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shd w:val="clear" w:color="auto" w:fill="FFFFFF"/>
        </w:rPr>
        <w:t>7</w:t>
      </w:r>
      <w:r>
        <w:rPr>
          <w:rFonts w:ascii="Times New Roman" w:eastAsia="宋体" w:hAnsi="Times New Roman"/>
          <w:szCs w:val="24"/>
          <w:shd w:val="clear" w:color="auto" w:fill="FFFFFF"/>
        </w:rPr>
        <w:t>.</w:t>
      </w:r>
      <w:r>
        <w:rPr>
          <w:rFonts w:ascii="宋体" w:eastAsia="宋体" w:hAnsi="宋体" w:cs="宋体" w:hint="eastAsia"/>
          <w:szCs w:val="24"/>
          <w:shd w:val="clear" w:color="auto" w:fill="FFFFFF"/>
        </w:rPr>
        <w:t>经财政部和国家税务总局或者其授权的财政和税务机关批准，实行汇总缴纳增值税的总机构及其分支机构，以总机构本级及其分支机构的合计销售额，确定总机构及其分支机构适用加计抵减政策。</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纳税人确定适用加计抵减政策后，当年内不再调整，以后年度是否适用，根据上年度销售额计算确定。纳税人可计提但未计提的加计抵减额，可在确定适</w:t>
      </w:r>
      <w:r>
        <w:rPr>
          <w:rFonts w:ascii="宋体" w:eastAsia="宋体" w:hAnsi="宋体"/>
          <w:sz w:val="24"/>
          <w:szCs w:val="24"/>
        </w:rPr>
        <w:lastRenderedPageBreak/>
        <w:t>用加计抵减政策当期一并计提。</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按照现行规定不得从销项税额中抵扣的进项税额，不得计提加计抵减额；已计提加计抵减额的进项税额，按规定作进项税额转出的，应在进项税额转出当期，相应调减加计抵减额。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纳税人出口货物劳务、发生跨境应税行为不适用加计抵减政策，其对应的进项税额不得计提加计抵减额。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纳税人应单独核算加计抵减额的计提、抵减、调减、结余等变动情况。骗取适用加计抵减政策或虚增加计抵减额的，按照《中华人民共和国税收征收管理法》等有关规定处理。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加计抵减政策执行到期后，纳税人不再计提加计抵减额，结余的加计抵减额停止抵减。</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13.</w:t>
      </w:r>
      <w:r>
        <w:rPr>
          <w:rFonts w:ascii="宋体" w:eastAsia="宋体" w:hAnsi="宋体"/>
          <w:sz w:val="24"/>
          <w:szCs w:val="24"/>
        </w:rPr>
        <w:t>适用加计抵减政策的纳税人，同时兼营邮政服务、电信服务、现代服务、生活服务的，应按照四项服务中收入占比最高的业务在《适用加计抵减政策的声明》中勾选确定所属行业。</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14</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20.</w:t>
      </w:r>
      <w:r w:rsidR="00722CAA">
        <w:rPr>
          <w:rFonts w:hint="eastAsia"/>
        </w:rPr>
        <w:t xml:space="preserve">　农产品增值税进项税额扣除标准备案</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农产品增值税进项税额扣除标准备案</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纳入农产品增值税进项税额核定扣除试点范围的纳税人，购进农产品直接销售、购进农产品用于生产经营且不构成货物实体扣除标准的核定采取备案制。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试点纳税人购进农产品直接销售、购进农产品用于生产经营且不构成货物实体的，应在申报缴纳税款时向主管税务机关备案。</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《财政部　国家税务总局关于在部分行业试行农产品增值税进项税额核定扣除办法的通知》（财税〔2012〕38号）第十三条第二款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《农产品增值税进项税额扣除标准备案表》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5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ind w:firstLineChars="200" w:firstLine="420"/>
      </w:pPr>
      <w:r>
        <w:rPr>
          <w:noProof/>
        </w:rPr>
        <w:drawing>
          <wp:inline distT="0" distB="0" distL="114300" distR="114300">
            <wp:extent cx="5184140" cy="1765935"/>
            <wp:effectExtent l="0" t="0" r="12700" b="0"/>
            <wp:docPr id="22" name="图片 16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2" name="图片 161"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自</w:t>
      </w:r>
      <w:r>
        <w:rPr>
          <w:rFonts w:ascii="Times New Roman" w:eastAsia="宋体" w:hAnsi="Times New Roman" w:hint="eastAsia"/>
          <w:sz w:val="24"/>
          <w:szCs w:val="24"/>
        </w:rPr>
        <w:t>2019</w:t>
      </w:r>
      <w:r>
        <w:rPr>
          <w:rFonts w:ascii="宋体" w:eastAsia="宋体" w:hAnsi="宋体"/>
          <w:sz w:val="24"/>
          <w:szCs w:val="24"/>
        </w:rPr>
        <w:t>年</w:t>
      </w:r>
      <w:r>
        <w:rPr>
          <w:rFonts w:ascii="Times New Roman" w:eastAsia="宋体" w:hAnsi="Times New Roman" w:hint="eastAsia"/>
          <w:sz w:val="24"/>
          <w:szCs w:val="24"/>
        </w:rPr>
        <w:t>4</w:t>
      </w:r>
      <w:r>
        <w:rPr>
          <w:rFonts w:ascii="宋体" w:eastAsia="宋体" w:hAnsi="宋体"/>
          <w:sz w:val="24"/>
          <w:szCs w:val="24"/>
        </w:rPr>
        <w:t>月</w:t>
      </w:r>
      <w:r>
        <w:rPr>
          <w:rFonts w:ascii="Times New Roman" w:eastAsia="宋体" w:hAnsi="Times New Roman" w:hint="eastAsia"/>
          <w:sz w:val="24"/>
          <w:szCs w:val="24"/>
        </w:rPr>
        <w:t>1</w:t>
      </w:r>
      <w:r>
        <w:rPr>
          <w:rFonts w:ascii="宋体" w:eastAsia="宋体" w:hAnsi="宋体"/>
          <w:sz w:val="24"/>
          <w:szCs w:val="24"/>
        </w:rPr>
        <w:t>日起，纳税人购进农产品，原适用</w:t>
      </w:r>
      <w:r>
        <w:rPr>
          <w:rFonts w:ascii="Times New Roman" w:eastAsia="宋体" w:hAnsi="Times New Roman" w:hint="eastAsia"/>
          <w:sz w:val="24"/>
          <w:szCs w:val="24"/>
        </w:rPr>
        <w:t>10</w:t>
      </w:r>
      <w:r>
        <w:rPr>
          <w:rFonts w:ascii="宋体" w:eastAsia="宋体" w:hAnsi="宋体"/>
          <w:sz w:val="24"/>
          <w:szCs w:val="24"/>
        </w:rPr>
        <w:t>%扣除率的，扣除率调整为</w:t>
      </w:r>
      <w:r>
        <w:rPr>
          <w:rFonts w:ascii="Times New Roman" w:eastAsia="宋体" w:hAnsi="Times New Roman" w:hint="eastAsia"/>
          <w:sz w:val="24"/>
          <w:szCs w:val="24"/>
        </w:rPr>
        <w:t>9</w:t>
      </w:r>
      <w:r>
        <w:rPr>
          <w:rFonts w:ascii="宋体" w:eastAsia="宋体" w:hAnsi="宋体"/>
          <w:sz w:val="24"/>
          <w:szCs w:val="24"/>
        </w:rPr>
        <w:t>%。纳税人购进用于生产或者委托加工</w:t>
      </w:r>
      <w:r>
        <w:rPr>
          <w:rFonts w:ascii="Times New Roman" w:eastAsia="宋体" w:hAnsi="Times New Roman" w:hint="eastAsia"/>
          <w:sz w:val="24"/>
          <w:szCs w:val="24"/>
        </w:rPr>
        <w:t>13</w:t>
      </w:r>
      <w:r>
        <w:rPr>
          <w:rFonts w:ascii="宋体" w:eastAsia="宋体" w:hAnsi="宋体"/>
          <w:sz w:val="24"/>
          <w:szCs w:val="24"/>
        </w:rPr>
        <w:t>%税率货物的农产品，按照</w:t>
      </w:r>
      <w:r>
        <w:rPr>
          <w:rFonts w:ascii="Times New Roman" w:eastAsia="宋体" w:hAnsi="Times New Roman" w:hint="eastAsia"/>
          <w:sz w:val="24"/>
          <w:szCs w:val="24"/>
        </w:rPr>
        <w:t>10</w:t>
      </w:r>
      <w:r>
        <w:rPr>
          <w:rFonts w:ascii="宋体" w:eastAsia="宋体" w:hAnsi="宋体"/>
          <w:sz w:val="24"/>
          <w:szCs w:val="24"/>
        </w:rPr>
        <w:t>%的扣除率计算进项税额。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试点纳税人购进农产品直接销售的，农产品增值税进项税额按照以下方法核定扣除：</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当期允许抵扣农产品增值税进项税额＝当期销售农产品数量/（</w:t>
      </w:r>
      <w:r>
        <w:rPr>
          <w:rFonts w:ascii="Times New Roman" w:eastAsia="宋体" w:hAnsi="Times New Roman" w:hint="eastAsia"/>
          <w:sz w:val="24"/>
          <w:szCs w:val="24"/>
        </w:rPr>
        <w:t>1</w:t>
      </w:r>
      <w:r>
        <w:rPr>
          <w:rFonts w:ascii="宋体" w:eastAsia="宋体" w:hAnsi="宋体"/>
          <w:sz w:val="24"/>
          <w:szCs w:val="24"/>
        </w:rPr>
        <w:t>－损耗率）×农产品平均购买单价×扣除率（</w:t>
      </w:r>
      <w:r>
        <w:rPr>
          <w:rFonts w:ascii="Times New Roman" w:eastAsia="宋体" w:hAnsi="Times New Roman" w:hint="eastAsia"/>
          <w:sz w:val="24"/>
          <w:szCs w:val="24"/>
        </w:rPr>
        <w:t>1</w:t>
      </w:r>
      <w:r>
        <w:rPr>
          <w:rFonts w:ascii="宋体" w:eastAsia="宋体" w:hAnsi="宋体"/>
          <w:sz w:val="24"/>
          <w:szCs w:val="24"/>
        </w:rPr>
        <w:t>＋扣除率）；其中，损耗率＝损耗数量/购进数量</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试点纳税人购进农产品用于生产经营且不构成货物实体的（包括包装物、辅助材料、燃料、低值易耗品等），增值税进项税额按照以下方法核定扣除：</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当期允许抵扣农产品增值税进项税额＝当期耗用农产品数量×农产品平均</w:t>
      </w:r>
      <w:r>
        <w:rPr>
          <w:rFonts w:ascii="宋体" w:eastAsia="宋体" w:hAnsi="宋体"/>
          <w:sz w:val="24"/>
          <w:szCs w:val="24"/>
        </w:rPr>
        <w:lastRenderedPageBreak/>
        <w:t>购买单价×扣除率/（</w:t>
      </w:r>
      <w:r>
        <w:rPr>
          <w:rFonts w:ascii="Times New Roman" w:eastAsia="宋体" w:hAnsi="Times New Roman" w:hint="eastAsia"/>
          <w:sz w:val="24"/>
          <w:szCs w:val="24"/>
        </w:rPr>
        <w:t>1</w:t>
      </w:r>
      <w:r>
        <w:rPr>
          <w:rFonts w:ascii="宋体" w:eastAsia="宋体" w:hAnsi="宋体"/>
          <w:sz w:val="24"/>
          <w:szCs w:val="24"/>
        </w:rPr>
        <w:t>+扣除率）</w:t>
      </w:r>
      <w:r>
        <w:rPr>
          <w:rFonts w:ascii="宋体" w:eastAsia="宋体" w:hAnsi="宋体" w:hint="eastAsia"/>
          <w:sz w:val="24"/>
          <w:szCs w:val="24"/>
        </w:rPr>
        <w:t>。</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7</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21.</w:t>
      </w:r>
      <w:r w:rsidR="00722CAA">
        <w:rPr>
          <w:rFonts w:hint="eastAsia"/>
        </w:rPr>
        <w:t xml:space="preserve">　软件和集成电路产业企业所得税优惠事项资料报告</w:t>
      </w:r>
    </w:p>
    <w:p w:rsidR="00B43696" w:rsidRDefault="00722CAA">
      <w:pPr>
        <w:pStyle w:val="af5"/>
        <w:wordWrap w:val="0"/>
        <w:adjustRightInd/>
        <w:snapToGrid/>
        <w:rPr>
          <w:bCs w:val="0"/>
        </w:rPr>
      </w:pPr>
      <w:r>
        <w:rPr>
          <w:rFonts w:hint="eastAsia"/>
          <w:bCs w:val="0"/>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软件和集成电路产业企业所得税优惠事项资料报告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享受集成电路生产企业、集成电路设计企业和软件企业税收优惠政策的纳税人，在完成年度汇算清缴后，汇算清缴期结束前，按照《企业所得税优惠事项管理目录（</w:t>
      </w:r>
      <w:r>
        <w:rPr>
          <w:rFonts w:ascii="Times New Roman" w:eastAsia="宋体" w:hAnsi="Times New Roman" w:hint="eastAsia"/>
          <w:sz w:val="24"/>
          <w:szCs w:val="24"/>
        </w:rPr>
        <w:t>2017</w:t>
      </w:r>
      <w:r>
        <w:rPr>
          <w:rFonts w:ascii="宋体" w:eastAsia="宋体" w:hAnsi="宋体"/>
          <w:sz w:val="24"/>
          <w:szCs w:val="24"/>
        </w:rPr>
        <w:t>年版）》“后续管理要求”项目中列示的清单向税务机关提交资料。</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《企业所得税优惠政策事项办理办法》（国家税务总局公告</w:t>
      </w:r>
      <w:r>
        <w:rPr>
          <w:rFonts w:ascii="宋体" w:eastAsia="宋体" w:hAnsi="宋体"/>
          <w:bCs w:val="0"/>
        </w:rPr>
        <w:t>2015年第76号</w:t>
      </w:r>
      <w:r>
        <w:rPr>
          <w:rFonts w:ascii="宋体" w:eastAsia="宋体" w:hAnsi="宋体" w:hint="eastAsia"/>
          <w:bCs w:val="0"/>
        </w:rPr>
        <w:t>发布</w:t>
      </w:r>
      <w:r>
        <w:rPr>
          <w:rFonts w:ascii="宋体" w:eastAsia="宋体" w:hAnsi="宋体"/>
          <w:bCs w:val="0"/>
        </w:rPr>
        <w:t>，国家税务总局公告2018年第23号修改）</w:t>
      </w:r>
      <w:r>
        <w:rPr>
          <w:rFonts w:ascii="宋体" w:eastAsia="宋体" w:hAnsi="宋体" w:hint="eastAsia"/>
          <w:bCs w:val="0"/>
        </w:rPr>
        <w:t>第十二条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享受集成电路生产企业企业所得税优惠的纳税人：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82"/>
        <w:gridCol w:w="732"/>
        <w:gridCol w:w="769"/>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98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3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6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在发展改革或工业和信息化部门立项的备案文件（应注明总投资额、</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工艺线宽标准）复印件以及企业取得的相关资质证书复印件等</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企业职工人数、学历结构、研究开发人员情况及其占企业职工总数的比例说明，以及汇算清缴年度最后一个月社会保险缴纳证明等相关证明材料</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13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加工集成电路产品主要列表及国家知识产权局（或国外知识产权相关主管机构）出具的企业自主开发或拥有的一至两份代表性知识产权（如专利、布图设计登记、软件著作权等）的证明材料</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集成电路制造销售（营业）收入、研究开发费用、境内研究开发费用等</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情况说明</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与主要客户签订的一至两份代表性销售合同复印件</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6</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保证产品质量的相关证明材料（如质量管理认证证书复印件等）</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享受集成电路设计企业企业所得税优惠的纳税人：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13"/>
        <w:gridCol w:w="2769"/>
        <w:gridCol w:w="711"/>
        <w:gridCol w:w="79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9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企业职工人数、学历结构、研究开发人员情况及其占企业职工总数的比例说明，以及汇算清缴年度最后一个月社会保险缴纳证明等相关证明材料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distribute"/>
              <w:rPr>
                <w:rFonts w:ascii="黑体" w:eastAsia="黑体" w:hAnsi="黑体"/>
                <w:sz w:val="18"/>
                <w:szCs w:val="18"/>
              </w:rPr>
            </w:pPr>
            <w:r>
              <w:rPr>
                <w:rFonts w:ascii="黑体" w:eastAsia="黑体" w:hAnsi="黑体"/>
                <w:sz w:val="18"/>
                <w:szCs w:val="18"/>
              </w:rPr>
              <w:t>企业开发销售的主要集成电路产品列表，以及国家知识产权局（或国外</w:t>
            </w:r>
          </w:p>
          <w:p w:rsidR="00B43696" w:rsidRDefault="00722CAA">
            <w:pPr>
              <w:wordWrap w:val="0"/>
              <w:ind w:firstLineChars="200" w:firstLine="360"/>
              <w:jc w:val="distribute"/>
              <w:rPr>
                <w:rFonts w:ascii="黑体" w:eastAsia="黑体" w:hAnsi="黑体"/>
                <w:sz w:val="18"/>
                <w:szCs w:val="18"/>
              </w:rPr>
            </w:pPr>
            <w:r>
              <w:rPr>
                <w:rFonts w:ascii="黑体" w:eastAsia="黑体" w:hAnsi="黑体"/>
                <w:sz w:val="18"/>
                <w:szCs w:val="18"/>
              </w:rPr>
              <w:t>知识产权相关主管机构）出具的企业自主开发或拥有的一至两份代表性</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知识产权（如专利、布图设计登记、软件著作权等）的证明材料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lastRenderedPageBreak/>
              <w:t>3</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集成电路设计销售（营业）收入、集成电路自主设计销售（营业）收入、研究开发费用、境内研究开发费用等情况表</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第三方检测机构提供的集成电路产品测试报告或用户报告，以及与</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主要客户签订的一至两份代表性销售合同复印件</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企业开发环境等相关证明材料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3893"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769"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2062"/>
          <w:jc w:val="center"/>
        </w:trPr>
        <w:tc>
          <w:tcPr>
            <w:tcW w:w="389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在国家规定的重点集成电路设计领域内，汇算清缴年度集成电路设计销售（营业）收入不低于</w:t>
            </w:r>
            <w:r>
              <w:rPr>
                <w:rFonts w:ascii="Times New Roman" w:eastAsia="黑体" w:hAnsi="Times New Roman" w:hint="eastAsia"/>
                <w:sz w:val="18"/>
                <w:szCs w:val="18"/>
              </w:rPr>
              <w:t>2000</w:t>
            </w:r>
            <w:r>
              <w:rPr>
                <w:rFonts w:ascii="黑体" w:eastAsia="黑体" w:hAnsi="黑体"/>
                <w:sz w:val="18"/>
                <w:szCs w:val="18"/>
              </w:rPr>
              <w:t>万元，应纳税所得额不低于</w:t>
            </w:r>
            <w:r>
              <w:rPr>
                <w:rFonts w:ascii="Times New Roman" w:eastAsia="黑体" w:hAnsi="Times New Roman" w:hint="eastAsia"/>
                <w:sz w:val="18"/>
                <w:szCs w:val="18"/>
              </w:rPr>
              <w:t>250</w:t>
            </w:r>
            <w:r>
              <w:rPr>
                <w:rFonts w:ascii="黑体" w:eastAsia="黑体" w:hAnsi="黑体"/>
                <w:sz w:val="18"/>
                <w:szCs w:val="18"/>
              </w:rPr>
              <w:t>万元，研究开发人员占月平均职工总数的比例不低于</w:t>
            </w:r>
            <w:r>
              <w:rPr>
                <w:rFonts w:ascii="Times New Roman" w:eastAsia="黑体" w:hAnsi="Times New Roman" w:hint="eastAsia"/>
                <w:sz w:val="18"/>
                <w:szCs w:val="18"/>
              </w:rPr>
              <w:t>35</w:t>
            </w:r>
            <w:r>
              <w:rPr>
                <w:rFonts w:ascii="黑体" w:eastAsia="黑体" w:hAnsi="黑体"/>
                <w:sz w:val="18"/>
                <w:szCs w:val="18"/>
              </w:rPr>
              <w:t>%，企业在中国境内发生的研发开发费用金额占研究开发费用总额的比例不低于</w:t>
            </w:r>
            <w:r>
              <w:rPr>
                <w:rFonts w:ascii="Times New Roman" w:eastAsia="黑体" w:hAnsi="Times New Roman" w:hint="eastAsia"/>
                <w:sz w:val="18"/>
                <w:szCs w:val="18"/>
              </w:rPr>
              <w:t>70</w:t>
            </w:r>
            <w:r>
              <w:rPr>
                <w:rFonts w:ascii="黑体" w:eastAsia="黑体" w:hAnsi="黑体"/>
                <w:sz w:val="18"/>
                <w:szCs w:val="18"/>
              </w:rPr>
              <w:t>%</w:t>
            </w:r>
          </w:p>
        </w:tc>
        <w:tc>
          <w:tcPr>
            <w:tcW w:w="2769"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在国家规定的重点集成电路设计领域内销售（营业）情况说明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享受软件企业企业所得税优惠的纳税人：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13"/>
        <w:gridCol w:w="2769"/>
        <w:gridCol w:w="711"/>
        <w:gridCol w:w="79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9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企业开发销售的主要软件产品列表或技术服务列表</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7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主营业务为软件产品开发的企业，提供至少</w:t>
            </w:r>
            <w:r>
              <w:rPr>
                <w:rFonts w:ascii="Times New Roman" w:eastAsia="黑体" w:hAnsi="Times New Roman" w:hint="eastAsia"/>
                <w:sz w:val="18"/>
                <w:szCs w:val="18"/>
              </w:rPr>
              <w:t>1</w:t>
            </w:r>
            <w:r>
              <w:rPr>
                <w:rFonts w:ascii="黑体" w:eastAsia="黑体" w:hAnsi="黑体"/>
                <w:sz w:val="18"/>
                <w:szCs w:val="18"/>
              </w:rPr>
              <w:t>个主要产品的软件著作权或专利权等自主知识产权的有效证明文件，以及第三方检测机构提供的软件产品测试报告；主营业务仅为技术服务的企业提供核心技术说明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企业职工人数、学历结构、研究开发人员及其占企业职工总数的比例说明，以及汇算清缴年度最后一个月社会保险缴纳证明等相关证明材料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软件产品开发销售（营业）收入、软件产品自主开发销售（营业）收入、研究开发费用、境内研究开发费用等情况说明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与主要客户签订的一至两份代表性的软件产品销售合同或技术服务</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合同复印件</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6</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企业开发环境相关证明材料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3893"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769"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2060"/>
          <w:jc w:val="center"/>
        </w:trPr>
        <w:tc>
          <w:tcPr>
            <w:tcW w:w="389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在国家规定的重点软件领域内，汇算清缴年度软件产品开发销售（营业）收入不低于</w:t>
            </w:r>
            <w:r>
              <w:rPr>
                <w:rFonts w:ascii="Times New Roman" w:eastAsia="黑体" w:hAnsi="Times New Roman" w:hint="eastAsia"/>
                <w:sz w:val="18"/>
                <w:szCs w:val="18"/>
              </w:rPr>
              <w:t>5000</w:t>
            </w:r>
            <w:r>
              <w:rPr>
                <w:rFonts w:ascii="黑体" w:eastAsia="黑体" w:hAnsi="黑体"/>
                <w:sz w:val="18"/>
                <w:szCs w:val="18"/>
              </w:rPr>
              <w:t>万元，应纳税所得额不低于</w:t>
            </w:r>
            <w:r>
              <w:rPr>
                <w:rFonts w:ascii="Times New Roman" w:eastAsia="黑体" w:hAnsi="Times New Roman" w:hint="eastAsia"/>
                <w:sz w:val="18"/>
                <w:szCs w:val="18"/>
              </w:rPr>
              <w:t>250</w:t>
            </w:r>
            <w:r>
              <w:rPr>
                <w:rFonts w:ascii="黑体" w:eastAsia="黑体" w:hAnsi="黑体"/>
                <w:sz w:val="18"/>
                <w:szCs w:val="18"/>
              </w:rPr>
              <w:t>万元，研究开发人员占企业月平均职工总数的比例不低于</w:t>
            </w:r>
            <w:r>
              <w:rPr>
                <w:rFonts w:ascii="Times New Roman" w:eastAsia="黑体" w:hAnsi="Times New Roman" w:hint="eastAsia"/>
                <w:sz w:val="18"/>
                <w:szCs w:val="18"/>
              </w:rPr>
              <w:t>25</w:t>
            </w:r>
            <w:r>
              <w:rPr>
                <w:rFonts w:ascii="黑体" w:eastAsia="黑体" w:hAnsi="黑体"/>
                <w:sz w:val="18"/>
                <w:szCs w:val="18"/>
              </w:rPr>
              <w:t>%，企业在中国境内发生的研究开发费用金额占研究开发费用总额的比例不低于</w:t>
            </w:r>
            <w:r>
              <w:rPr>
                <w:rFonts w:ascii="Times New Roman" w:eastAsia="黑体" w:hAnsi="Times New Roman" w:hint="eastAsia"/>
                <w:sz w:val="18"/>
                <w:szCs w:val="18"/>
              </w:rPr>
              <w:t>70</w:t>
            </w:r>
            <w:r>
              <w:rPr>
                <w:rFonts w:ascii="黑体" w:eastAsia="黑体" w:hAnsi="黑体"/>
                <w:sz w:val="18"/>
                <w:szCs w:val="18"/>
              </w:rPr>
              <w:t>%</w:t>
            </w:r>
          </w:p>
        </w:tc>
        <w:tc>
          <w:tcPr>
            <w:tcW w:w="2769" w:type="dxa"/>
            <w:tcBorders>
              <w:left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在国家规定的重点软件领域内</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销售（营业）情况说明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hRule="exact" w:val="1528"/>
          <w:jc w:val="center"/>
        </w:trPr>
        <w:tc>
          <w:tcPr>
            <w:tcW w:w="389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汇算清缴年度软件出口收入总额不低于</w:t>
            </w:r>
            <w:r>
              <w:rPr>
                <w:rFonts w:ascii="Times New Roman" w:eastAsia="黑体" w:hAnsi="Times New Roman" w:hint="eastAsia"/>
                <w:sz w:val="18"/>
                <w:szCs w:val="18"/>
              </w:rPr>
              <w:t>800</w:t>
            </w:r>
            <w:r>
              <w:rPr>
                <w:rFonts w:ascii="黑体" w:eastAsia="黑体" w:hAnsi="黑体"/>
                <w:sz w:val="18"/>
                <w:szCs w:val="18"/>
              </w:rPr>
              <w:t>万美元，软件出口收入总额占本企业年度收入总额比例不低于</w:t>
            </w:r>
            <w:r>
              <w:rPr>
                <w:rFonts w:ascii="Times New Roman" w:eastAsia="黑体" w:hAnsi="Times New Roman" w:hint="eastAsia"/>
                <w:sz w:val="18"/>
                <w:szCs w:val="18"/>
              </w:rPr>
              <w:t>50</w:t>
            </w:r>
            <w:r>
              <w:rPr>
                <w:rFonts w:ascii="黑体" w:eastAsia="黑体" w:hAnsi="黑体"/>
                <w:sz w:val="18"/>
                <w:szCs w:val="18"/>
              </w:rPr>
              <w:t>％，研究开发人员占企业月平均职工总数的比例不低于</w:t>
            </w:r>
            <w:r>
              <w:rPr>
                <w:rFonts w:ascii="Times New Roman" w:eastAsia="黑体" w:hAnsi="Times New Roman" w:hint="eastAsia"/>
                <w:sz w:val="18"/>
                <w:szCs w:val="18"/>
              </w:rPr>
              <w:t>25</w:t>
            </w:r>
            <w:r>
              <w:rPr>
                <w:rFonts w:ascii="黑体" w:eastAsia="黑体" w:hAnsi="黑体"/>
                <w:sz w:val="18"/>
                <w:szCs w:val="18"/>
              </w:rPr>
              <w:t>%</w:t>
            </w:r>
          </w:p>
        </w:tc>
        <w:tc>
          <w:tcPr>
            <w:tcW w:w="2769" w:type="dxa"/>
            <w:tcBorders>
              <w:left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商务主管部门核发的软件出口</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合同登记证书，以及有效出口</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合同和结汇证明等材料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5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宋体" w:hAnsi="宋体"/>
          <w:b/>
          <w:noProof/>
        </w:rPr>
        <w:drawing>
          <wp:inline distT="0" distB="0" distL="114300" distR="114300">
            <wp:extent cx="5184140" cy="1765935"/>
            <wp:effectExtent l="0" t="0" r="12700" b="0"/>
            <wp:docPr id="23" name="图片 16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3" name="图片 162"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纳税人进行软件和集成电路产业企业所得税优惠事项资料报告后，还应将提交资料的留存件留存备查，从企业享受优惠事项当年的企业所得税汇算清缴期</w:t>
      </w:r>
      <w:r>
        <w:rPr>
          <w:rFonts w:ascii="宋体" w:eastAsia="宋体" w:hAnsi="宋体"/>
          <w:sz w:val="24"/>
          <w:szCs w:val="24"/>
        </w:rPr>
        <w:lastRenderedPageBreak/>
        <w:t>结束次日起保留</w:t>
      </w:r>
      <w:r>
        <w:rPr>
          <w:rFonts w:ascii="Times New Roman" w:eastAsia="宋体" w:hAnsi="Times New Roman" w:hint="eastAsia"/>
          <w:sz w:val="24"/>
          <w:szCs w:val="24"/>
        </w:rPr>
        <w:t>10</w:t>
      </w:r>
      <w:r>
        <w:rPr>
          <w:rFonts w:ascii="宋体" w:eastAsia="宋体" w:hAnsi="宋体"/>
          <w:sz w:val="24"/>
          <w:szCs w:val="24"/>
        </w:rPr>
        <w:t>年。</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集成电路生产企业税收优惠的情形包括：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w:t>
      </w:r>
      <w:r>
        <w:rPr>
          <w:rFonts w:ascii="Times New Roman" w:eastAsia="宋体" w:hAnsi="Times New Roman" w:hint="eastAsia"/>
          <w:sz w:val="24"/>
          <w:szCs w:val="24"/>
        </w:rPr>
        <w:t>2018</w:t>
      </w:r>
      <w:r>
        <w:rPr>
          <w:rFonts w:ascii="宋体" w:eastAsia="宋体" w:hAnsi="宋体"/>
          <w:sz w:val="24"/>
          <w:szCs w:val="24"/>
        </w:rPr>
        <w:t>年</w:t>
      </w:r>
      <w:r>
        <w:rPr>
          <w:rFonts w:ascii="Times New Roman" w:eastAsia="宋体" w:hAnsi="Times New Roman" w:hint="eastAsia"/>
          <w:sz w:val="24"/>
          <w:szCs w:val="24"/>
        </w:rPr>
        <w:t>1</w:t>
      </w:r>
      <w:r>
        <w:rPr>
          <w:rFonts w:ascii="宋体" w:eastAsia="宋体" w:hAnsi="宋体"/>
          <w:sz w:val="24"/>
          <w:szCs w:val="24"/>
        </w:rPr>
        <w:t>月</w:t>
      </w:r>
      <w:r>
        <w:rPr>
          <w:rFonts w:ascii="Times New Roman" w:eastAsia="宋体" w:hAnsi="Times New Roman" w:hint="eastAsia"/>
          <w:sz w:val="24"/>
          <w:szCs w:val="24"/>
        </w:rPr>
        <w:t>1</w:t>
      </w:r>
      <w:r>
        <w:rPr>
          <w:rFonts w:ascii="宋体" w:eastAsia="宋体" w:hAnsi="宋体"/>
          <w:sz w:val="24"/>
          <w:szCs w:val="24"/>
        </w:rPr>
        <w:t>日后投资新设的集成电路线宽小于</w:t>
      </w:r>
      <w:r>
        <w:rPr>
          <w:rFonts w:ascii="Times New Roman" w:eastAsia="宋体" w:hAnsi="Times New Roman" w:hint="eastAsia"/>
          <w:sz w:val="24"/>
          <w:szCs w:val="24"/>
        </w:rPr>
        <w:t>130</w:t>
      </w:r>
      <w:r>
        <w:rPr>
          <w:rFonts w:ascii="宋体" w:eastAsia="宋体" w:hAnsi="宋体"/>
          <w:sz w:val="24"/>
          <w:szCs w:val="24"/>
        </w:rPr>
        <w:t>纳米，且经营期在</w:t>
      </w:r>
      <w:r>
        <w:rPr>
          <w:rFonts w:ascii="Times New Roman" w:eastAsia="宋体" w:hAnsi="Times New Roman" w:hint="eastAsia"/>
          <w:sz w:val="24"/>
          <w:szCs w:val="24"/>
        </w:rPr>
        <w:t>10</w:t>
      </w:r>
      <w:r>
        <w:rPr>
          <w:rFonts w:ascii="宋体" w:eastAsia="宋体" w:hAnsi="宋体"/>
          <w:sz w:val="24"/>
          <w:szCs w:val="24"/>
        </w:rPr>
        <w:t>年以上的集成电路生产企业或项目，第一年至第二年免征企业所得税，第三年至第五年按照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w:t>
      </w:r>
      <w:r>
        <w:rPr>
          <w:rFonts w:ascii="Times New Roman" w:eastAsia="宋体" w:hAnsi="Times New Roman" w:hint="eastAsia"/>
          <w:sz w:val="24"/>
          <w:szCs w:val="24"/>
        </w:rPr>
        <w:t>2018</w:t>
      </w:r>
      <w:r>
        <w:rPr>
          <w:rFonts w:ascii="宋体" w:eastAsia="宋体" w:hAnsi="宋体"/>
          <w:sz w:val="24"/>
          <w:szCs w:val="24"/>
        </w:rPr>
        <w:t>年</w:t>
      </w:r>
      <w:r>
        <w:rPr>
          <w:rFonts w:ascii="Times New Roman" w:eastAsia="宋体" w:hAnsi="Times New Roman" w:hint="eastAsia"/>
          <w:sz w:val="24"/>
          <w:szCs w:val="24"/>
        </w:rPr>
        <w:t>1</w:t>
      </w:r>
      <w:r>
        <w:rPr>
          <w:rFonts w:ascii="宋体" w:eastAsia="宋体" w:hAnsi="宋体"/>
          <w:sz w:val="24"/>
          <w:szCs w:val="24"/>
        </w:rPr>
        <w:t>月</w:t>
      </w:r>
      <w:r>
        <w:rPr>
          <w:rFonts w:ascii="Times New Roman" w:eastAsia="宋体" w:hAnsi="Times New Roman" w:hint="eastAsia"/>
          <w:sz w:val="24"/>
          <w:szCs w:val="24"/>
        </w:rPr>
        <w:t>1</w:t>
      </w:r>
      <w:r>
        <w:rPr>
          <w:rFonts w:ascii="宋体" w:eastAsia="宋体" w:hAnsi="宋体"/>
          <w:sz w:val="24"/>
          <w:szCs w:val="24"/>
        </w:rPr>
        <w:t>日后投资新设的集成电路线宽小于</w:t>
      </w:r>
      <w:r>
        <w:rPr>
          <w:rFonts w:ascii="Times New Roman" w:eastAsia="宋体" w:hAnsi="Times New Roman" w:hint="eastAsia"/>
          <w:sz w:val="24"/>
          <w:szCs w:val="24"/>
        </w:rPr>
        <w:t>65</w:t>
      </w:r>
      <w:r>
        <w:rPr>
          <w:rFonts w:ascii="宋体" w:eastAsia="宋体" w:hAnsi="宋体"/>
          <w:sz w:val="24"/>
          <w:szCs w:val="24"/>
        </w:rPr>
        <w:t>纳米或投资额超过</w:t>
      </w:r>
      <w:r>
        <w:rPr>
          <w:rFonts w:ascii="Times New Roman" w:eastAsia="宋体" w:hAnsi="Times New Roman" w:hint="eastAsia"/>
          <w:sz w:val="24"/>
          <w:szCs w:val="24"/>
        </w:rPr>
        <w:t>150</w:t>
      </w:r>
      <w:r>
        <w:rPr>
          <w:rFonts w:ascii="宋体" w:eastAsia="宋体" w:hAnsi="宋体"/>
          <w:sz w:val="24"/>
          <w:szCs w:val="24"/>
        </w:rPr>
        <w:t>亿元，且经营期在</w:t>
      </w:r>
      <w:r>
        <w:rPr>
          <w:rFonts w:ascii="Times New Roman" w:eastAsia="宋体" w:hAnsi="Times New Roman" w:hint="eastAsia"/>
          <w:sz w:val="24"/>
          <w:szCs w:val="24"/>
        </w:rPr>
        <w:t>15</w:t>
      </w:r>
      <w:r>
        <w:rPr>
          <w:rFonts w:ascii="宋体" w:eastAsia="宋体" w:hAnsi="宋体"/>
          <w:sz w:val="24"/>
          <w:szCs w:val="24"/>
        </w:rPr>
        <w:t>年以上的集成电路生产企业或项目，第一年至第五年免征企业所得税，第六年至第十年按照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）集成电路线宽小于</w:t>
      </w:r>
      <w:r>
        <w:rPr>
          <w:rFonts w:ascii="Times New Roman" w:eastAsia="宋体" w:hAnsi="Times New Roman" w:hint="eastAsia"/>
          <w:sz w:val="24"/>
          <w:szCs w:val="24"/>
        </w:rPr>
        <w:t>0.8</w:t>
      </w:r>
      <w:r>
        <w:rPr>
          <w:rFonts w:ascii="宋体" w:eastAsia="宋体" w:hAnsi="宋体"/>
          <w:sz w:val="24"/>
          <w:szCs w:val="24"/>
        </w:rPr>
        <w:t>微米（含）的集成电路生产企业，在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日前自获利年度起计算优惠期，第一年至第二年免征企业所得税，第三年至第五年按照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4</w:t>
      </w:r>
      <w:r>
        <w:rPr>
          <w:rFonts w:ascii="宋体" w:eastAsia="宋体" w:hAnsi="宋体"/>
          <w:sz w:val="24"/>
          <w:szCs w:val="24"/>
        </w:rPr>
        <w:t>）</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日前设立但未获利的集成电路线宽小于</w:t>
      </w:r>
      <w:r>
        <w:rPr>
          <w:rFonts w:ascii="Times New Roman" w:eastAsia="宋体" w:hAnsi="Times New Roman" w:hint="eastAsia"/>
          <w:sz w:val="24"/>
          <w:szCs w:val="24"/>
        </w:rPr>
        <w:t>0.8</w:t>
      </w:r>
      <w:r>
        <w:rPr>
          <w:rFonts w:ascii="宋体" w:eastAsia="宋体" w:hAnsi="宋体"/>
          <w:sz w:val="24"/>
          <w:szCs w:val="24"/>
        </w:rPr>
        <w:t>微米（含）的集成电路生产企业，自获利年度起第一年至第二年免征企业所得税，第三年至第五年按照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5</w:t>
      </w:r>
      <w:r>
        <w:rPr>
          <w:rFonts w:ascii="宋体" w:eastAsia="宋体" w:hAnsi="宋体"/>
          <w:sz w:val="24"/>
          <w:szCs w:val="24"/>
        </w:rPr>
        <w:t>）线宽小于</w:t>
      </w:r>
      <w:r>
        <w:rPr>
          <w:rFonts w:ascii="Times New Roman" w:eastAsia="宋体" w:hAnsi="Times New Roman" w:hint="eastAsia"/>
          <w:sz w:val="24"/>
          <w:szCs w:val="24"/>
        </w:rPr>
        <w:t>0.25</w:t>
      </w:r>
      <w:r>
        <w:rPr>
          <w:rFonts w:ascii="宋体" w:eastAsia="宋体" w:hAnsi="宋体"/>
          <w:sz w:val="24"/>
          <w:szCs w:val="24"/>
        </w:rPr>
        <w:t>微米或投资额超过</w:t>
      </w:r>
      <w:r>
        <w:rPr>
          <w:rFonts w:ascii="Times New Roman" w:eastAsia="宋体" w:hAnsi="Times New Roman" w:hint="eastAsia"/>
          <w:sz w:val="24"/>
          <w:szCs w:val="24"/>
        </w:rPr>
        <w:t>80</w:t>
      </w:r>
      <w:r>
        <w:rPr>
          <w:rFonts w:ascii="宋体" w:eastAsia="宋体" w:hAnsi="宋体"/>
          <w:sz w:val="24"/>
          <w:szCs w:val="24"/>
        </w:rPr>
        <w:t>亿元的集成电路生产企业，减按</w:t>
      </w:r>
      <w:r>
        <w:rPr>
          <w:rFonts w:ascii="Times New Roman" w:eastAsia="宋体" w:hAnsi="Times New Roman" w:hint="eastAsia"/>
          <w:sz w:val="24"/>
          <w:szCs w:val="24"/>
        </w:rPr>
        <w:t>15</w:t>
      </w:r>
      <w:r>
        <w:rPr>
          <w:rFonts w:ascii="宋体" w:eastAsia="宋体" w:hAnsi="宋体"/>
          <w:sz w:val="24"/>
          <w:szCs w:val="24"/>
        </w:rPr>
        <w:t>%的税率征收企业所得税。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6</w:t>
      </w:r>
      <w:r>
        <w:rPr>
          <w:rFonts w:ascii="宋体" w:eastAsia="宋体" w:hAnsi="宋体"/>
          <w:sz w:val="24"/>
          <w:szCs w:val="24"/>
        </w:rPr>
        <w:t>）线宽小于</w:t>
      </w:r>
      <w:r>
        <w:rPr>
          <w:rFonts w:ascii="Times New Roman" w:eastAsia="宋体" w:hAnsi="Times New Roman" w:hint="eastAsia"/>
          <w:sz w:val="24"/>
          <w:szCs w:val="24"/>
        </w:rPr>
        <w:t>0.25</w:t>
      </w:r>
      <w:r>
        <w:rPr>
          <w:rFonts w:ascii="宋体" w:eastAsia="宋体" w:hAnsi="宋体"/>
          <w:sz w:val="24"/>
          <w:szCs w:val="24"/>
        </w:rPr>
        <w:t>微米或投资额超过</w:t>
      </w:r>
      <w:r>
        <w:rPr>
          <w:rFonts w:ascii="Times New Roman" w:eastAsia="宋体" w:hAnsi="Times New Roman" w:hint="eastAsia"/>
          <w:sz w:val="24"/>
          <w:szCs w:val="24"/>
        </w:rPr>
        <w:t>80</w:t>
      </w:r>
      <w:r>
        <w:rPr>
          <w:rFonts w:ascii="宋体" w:eastAsia="宋体" w:hAnsi="宋体"/>
          <w:sz w:val="24"/>
          <w:szCs w:val="24"/>
        </w:rPr>
        <w:t>亿元的集成电路生产企业，经营期在</w:t>
      </w:r>
      <w:r>
        <w:rPr>
          <w:rFonts w:ascii="Times New Roman" w:eastAsia="宋体" w:hAnsi="Times New Roman" w:hint="eastAsia"/>
          <w:sz w:val="24"/>
          <w:szCs w:val="24"/>
        </w:rPr>
        <w:t>15</w:t>
      </w:r>
      <w:r>
        <w:rPr>
          <w:rFonts w:ascii="宋体" w:eastAsia="宋体" w:hAnsi="宋体"/>
          <w:sz w:val="24"/>
          <w:szCs w:val="24"/>
        </w:rPr>
        <w:t>年以上的，在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日前自获利年度起计算优惠期，第一年至第五年免征企业所得税，第六年至第十年按照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7</w:t>
      </w:r>
      <w:r>
        <w:rPr>
          <w:rFonts w:ascii="宋体" w:eastAsia="宋体" w:hAnsi="宋体"/>
          <w:sz w:val="24"/>
          <w:szCs w:val="24"/>
        </w:rPr>
        <w:t>）</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日前设立但未获利的集成电路线宽小于</w:t>
      </w:r>
      <w:r>
        <w:rPr>
          <w:rFonts w:ascii="Times New Roman" w:eastAsia="宋体" w:hAnsi="Times New Roman" w:hint="eastAsia"/>
          <w:sz w:val="24"/>
          <w:szCs w:val="24"/>
        </w:rPr>
        <w:t>0.25</w:t>
      </w:r>
      <w:r>
        <w:rPr>
          <w:rFonts w:ascii="宋体" w:eastAsia="宋体" w:hAnsi="宋体"/>
          <w:sz w:val="24"/>
          <w:szCs w:val="24"/>
        </w:rPr>
        <w:t>微米或投资额超过</w:t>
      </w:r>
      <w:r>
        <w:rPr>
          <w:rFonts w:ascii="Times New Roman" w:eastAsia="宋体" w:hAnsi="Times New Roman" w:hint="eastAsia"/>
          <w:sz w:val="24"/>
          <w:szCs w:val="24"/>
        </w:rPr>
        <w:t>80</w:t>
      </w:r>
      <w:r>
        <w:rPr>
          <w:rFonts w:ascii="宋体" w:eastAsia="宋体" w:hAnsi="宋体"/>
          <w:sz w:val="24"/>
          <w:szCs w:val="24"/>
        </w:rPr>
        <w:t>亿元，且经营期在</w:t>
      </w:r>
      <w:r>
        <w:rPr>
          <w:rFonts w:ascii="Times New Roman" w:eastAsia="宋体" w:hAnsi="Times New Roman" w:hint="eastAsia"/>
          <w:sz w:val="24"/>
          <w:szCs w:val="24"/>
        </w:rPr>
        <w:t>15</w:t>
      </w:r>
      <w:r>
        <w:rPr>
          <w:rFonts w:ascii="宋体" w:eastAsia="宋体" w:hAnsi="宋体"/>
          <w:sz w:val="24"/>
          <w:szCs w:val="24"/>
        </w:rPr>
        <w:t>年以上的集成电路生产企业，自获利年度起第一年至第五年免征企业所得税，第六年至第十年按照</w:t>
      </w:r>
      <w:r>
        <w:rPr>
          <w:rFonts w:ascii="Times New Roman" w:eastAsia="宋体" w:hAnsi="Times New Roman" w:hint="eastAsia"/>
          <w:sz w:val="24"/>
          <w:szCs w:val="24"/>
        </w:rPr>
        <w:t>25</w:t>
      </w:r>
      <w:r>
        <w:rPr>
          <w:rFonts w:ascii="宋体" w:eastAsia="宋体" w:hAnsi="宋体"/>
          <w:sz w:val="24"/>
          <w:szCs w:val="24"/>
        </w:rPr>
        <w:t>%的法定税率减半征收企</w:t>
      </w:r>
      <w:r>
        <w:rPr>
          <w:rFonts w:ascii="宋体" w:eastAsia="宋体" w:hAnsi="宋体"/>
          <w:sz w:val="24"/>
          <w:szCs w:val="24"/>
        </w:rPr>
        <w:lastRenderedPageBreak/>
        <w:t>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集成电路设计企业税收优惠的情形包括：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）我国境内新办的集成电路设计企业，在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）国家规划布局内的集成电路设计企业，如当年未享受免税优惠的，可减按</w:t>
      </w:r>
      <w:r>
        <w:rPr>
          <w:rFonts w:ascii="Times New Roman" w:eastAsia="宋体" w:hAnsi="Times New Roman" w:hint="eastAsia"/>
          <w:sz w:val="24"/>
          <w:szCs w:val="24"/>
        </w:rPr>
        <w:t>10</w:t>
      </w:r>
      <w:r>
        <w:rPr>
          <w:rFonts w:ascii="宋体" w:eastAsia="宋体" w:hAnsi="宋体"/>
          <w:sz w:val="24"/>
          <w:szCs w:val="24"/>
        </w:rPr>
        <w:t>%的税率征收企业所得税。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（3）依法成立且符合条件的集成电路企业，在2018年12月31日前自获利年度起计算优惠期，第一年至第二年免征企业所得税，第三年至第五年按照25%的法定税率减半征收企业所得税，并享受至期满为止。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软件企业税收优惠的情形包括：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）我国境内符合条件的软件企业，在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）国家规划布局内的重点软件企业，如当年未享受免税优惠的，可减按</w:t>
      </w:r>
      <w:r>
        <w:rPr>
          <w:rFonts w:ascii="Times New Roman" w:eastAsia="宋体" w:hAnsi="Times New Roman" w:hint="eastAsia"/>
          <w:sz w:val="24"/>
          <w:szCs w:val="24"/>
        </w:rPr>
        <w:t>10</w:t>
      </w:r>
      <w:r>
        <w:rPr>
          <w:rFonts w:ascii="宋体" w:eastAsia="宋体" w:hAnsi="宋体"/>
          <w:sz w:val="24"/>
          <w:szCs w:val="24"/>
        </w:rPr>
        <w:t>%的税率征收企业所得税。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（3）依法成立且符合条件的软件企业，在2018年12月31日前自获利年度起计算优惠期，第一年至第二年免征企业所得税，第三年至第五年按照25%的法定税率减半征收企业所得税，并享受至期满为止。</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7</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br w:type="page"/>
      </w:r>
    </w:p>
    <w:p w:rsidR="00B43696" w:rsidRDefault="006927C8">
      <w:pPr>
        <w:pStyle w:val="3sunshine"/>
        <w:keepNext w:val="0"/>
        <w:wordWrap w:val="0"/>
        <w:topLinePunct w:val="0"/>
        <w:adjustRightInd/>
        <w:snapToGrid/>
        <w:spacing w:before="332" w:after="332"/>
      </w:pPr>
      <w:r>
        <w:lastRenderedPageBreak/>
        <w:t>22.</w:t>
      </w:r>
      <w:r w:rsidR="00722CAA">
        <w:rPr>
          <w:rFonts w:hint="eastAsia"/>
        </w:rPr>
        <w:t xml:space="preserve">　软件产品增值税即征即退进项分摊方式资料报送与信息报告</w:t>
      </w:r>
    </w:p>
    <w:p w:rsidR="00B43696" w:rsidRDefault="00722CAA">
      <w:pPr>
        <w:pStyle w:val="af5"/>
        <w:wordWrap w:val="0"/>
        <w:adjustRightInd/>
        <w:snapToGrid/>
        <w:rPr>
          <w:bCs w:val="0"/>
        </w:rPr>
      </w:pPr>
      <w:r>
        <w:rPr>
          <w:rFonts w:hint="eastAsia"/>
          <w:bCs w:val="0"/>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软件产品增值税即征即退进项分摊方式资料报送与信息报告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《财政部　国家税务总局关于软件产品增值税政策的通知》（财税〔2011〕100号）第六条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《纳税人进项税额分摊方式备案报告表》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5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4" name="图片 16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4" name="图片 163"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pStyle w:val="af5"/>
        <w:wordWrap w:val="0"/>
        <w:adjustRightInd/>
        <w:snapToGrid/>
        <w:rPr>
          <w:rFonts w:ascii="宋体" w:eastAsia="宋体" w:hAnsi="宋体"/>
        </w:rPr>
      </w:pPr>
      <w:r>
        <w:rPr>
          <w:rFonts w:ascii="宋体" w:eastAsia="宋体" w:hAnsi="宋体" w:hint="eastAsia"/>
          <w:bCs w:val="0"/>
        </w:rPr>
        <w:t>1.</w:t>
      </w:r>
      <w:r>
        <w:rPr>
          <w:rFonts w:ascii="宋体" w:eastAsia="宋体" w:hAnsi="宋体"/>
          <w:bCs w:val="0"/>
        </w:rPr>
        <w:t>纳税人对报送材料的真实性和合法性承担责任。</w:t>
      </w:r>
    </w:p>
    <w:p w:rsidR="00B43696" w:rsidRDefault="00722CAA">
      <w:pPr>
        <w:pStyle w:val="af5"/>
        <w:wordWrap w:val="0"/>
        <w:adjustRightInd/>
        <w:snapToGrid/>
        <w:rPr>
          <w:rFonts w:ascii="宋体" w:eastAsia="宋体" w:hAnsi="宋体"/>
        </w:rPr>
      </w:pPr>
      <w:r>
        <w:rPr>
          <w:rFonts w:ascii="宋体" w:eastAsia="宋体" w:hAnsi="宋体" w:hint="eastAsia"/>
        </w:rPr>
        <w:t>2.文书表单可通过新疆税务局门户网站资料下载栏目查询下载或到办税服务厅领取。新疆税务局门户网站资料下载栏目：https://etax.xinjiang.chinatax.gov.cn/gzfw/xzfw/</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3.专用于软件产品开发生产的设备及工具，包括但不限于用于软件设计的计算机设备、读写打印器具设备、工具软件、软件平台和测试设备。</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4</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rsidP="00C756C0">
      <w:pPr>
        <w:rPr>
          <w:rFonts w:hint="eastAsia"/>
        </w:rPr>
      </w:pP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rPr>
          <w:rFonts w:hint="eastAsia"/>
        </w:rPr>
        <w:lastRenderedPageBreak/>
        <w:t>2</w:t>
      </w:r>
      <w:r>
        <w:t>3.</w:t>
      </w:r>
      <w:r w:rsidR="00722CAA">
        <w:rPr>
          <w:rFonts w:hint="eastAsia"/>
        </w:rPr>
        <w:t xml:space="preserve">　欠税人处置不动产或大额资产报告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欠税人处置不动产或大额资产报告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欠缴税款数额较大（5万元以上）的纳税人在对其不动产或者大额资产进行转让、出租、出借、提供担保等处分之前，向税务机关报告。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《中华人民共和国税收征收管理法》第四十九条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2"/>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《欠税人处置不动产或者大额资产报告表》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w:t>
            </w:r>
          </w:p>
        </w:tc>
        <w:tc>
          <w:tcPr>
            <w:tcW w:w="425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处置不动产或大额资产清单</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bCs w:val="0"/>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5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2.此事项可在全国通办。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5" name="图片 16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5" name="图片 164"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4.</w:t>
      </w:r>
      <w:r>
        <w:rPr>
          <w:rFonts w:ascii="宋体" w:eastAsia="宋体" w:hAnsi="宋体"/>
          <w:sz w:val="24"/>
          <w:szCs w:val="24"/>
        </w:rPr>
        <w:t>纳税人使用符合电子签名法规定条件的电子签名，与手写签名或者盖章具有同等法律效力。</w:t>
      </w:r>
    </w:p>
    <w:p w:rsidR="00B43696" w:rsidRDefault="00722CAA">
      <w:pPr>
        <w:ind w:firstLineChars="200" w:firstLine="420"/>
      </w:pPr>
      <w:r>
        <w:br w:type="page"/>
      </w:r>
    </w:p>
    <w:p w:rsidR="00B43696" w:rsidRDefault="006927C8">
      <w:pPr>
        <w:pStyle w:val="3sunshine"/>
        <w:keepNext w:val="0"/>
        <w:wordWrap w:val="0"/>
        <w:topLinePunct w:val="0"/>
        <w:adjustRightInd/>
        <w:snapToGrid/>
        <w:spacing w:before="332" w:after="332"/>
      </w:pPr>
      <w:r>
        <w:lastRenderedPageBreak/>
        <w:t>24.</w:t>
      </w:r>
      <w:r w:rsidR="00722CAA">
        <w:rPr>
          <w:rFonts w:hint="eastAsia"/>
        </w:rPr>
        <w:t xml:space="preserve">　</w:t>
      </w:r>
      <w:r>
        <w:rPr>
          <w:rFonts w:hint="eastAsia"/>
        </w:rPr>
        <w:t>合并分立</w:t>
      </w:r>
      <w:r w:rsidR="00722CAA">
        <w:rPr>
          <w:rFonts w:hint="eastAsia"/>
        </w:rPr>
        <w:t>报告</w:t>
      </w:r>
    </w:p>
    <w:p w:rsidR="00B43696" w:rsidRDefault="00722CAA">
      <w:pPr>
        <w:pStyle w:val="af5"/>
        <w:wordWrap w:val="0"/>
        <w:adjustRightInd/>
        <w:snapToGrid/>
      </w:pPr>
      <w:r>
        <w:rPr>
          <w:rFonts w:hint="eastAsia"/>
        </w:rPr>
        <w:t>【事项名称】</w:t>
      </w:r>
    </w:p>
    <w:p w:rsidR="00B43696" w:rsidRDefault="006927C8">
      <w:pPr>
        <w:pStyle w:val="af5"/>
        <w:wordWrap w:val="0"/>
        <w:adjustRightInd/>
        <w:snapToGrid/>
        <w:rPr>
          <w:rFonts w:ascii="宋体" w:eastAsia="宋体" w:hAnsi="宋体"/>
          <w:bCs w:val="0"/>
        </w:rPr>
      </w:pPr>
      <w:r>
        <w:rPr>
          <w:rFonts w:ascii="宋体" w:eastAsia="宋体" w:hAnsi="宋体" w:hint="eastAsia"/>
          <w:bCs w:val="0"/>
        </w:rPr>
        <w:t>合并分立</w:t>
      </w:r>
      <w:r w:rsidR="00722CAA">
        <w:rPr>
          <w:rFonts w:ascii="宋体" w:eastAsia="宋体" w:hAnsi="宋体" w:hint="eastAsia"/>
          <w:bCs w:val="0"/>
        </w:rPr>
        <w:t>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纳税人有合并、分立情形的。</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《中华人民共和国税收征收管理法》第四十八条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9"/>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692"/>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《纳税人合并（分立）情况报告书》</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根据合并（分立）单位数量决定报送数量</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合并、分立的批准文件或企业决议原件</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bCs w:val="0"/>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5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Fonts w:ascii="宋体" w:eastAsia="宋体" w:hAnsi="宋体"/>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2.此事项可在全国通办。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6" name="图片 16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6" name="图片 165"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纳税人有合并、分立情形的，应当同时依法缴清税款。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纳税人合并时未缴清税款的，由合并后的纳税人继续履行未履行的纳税义务；纳税人分立时未缴清税款的，分立后的纳税人对未履行的纳税义务承担连带责任。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纳税人合并分立报告分为纳税人合并报告和纳税人分立报告两种情况，其中合并又分为吸收合并和新设合并，分立又分为存续分立和新设分立。</w:t>
      </w:r>
    </w:p>
    <w:p w:rsidR="00B43696" w:rsidRDefault="00722CAA">
      <w:pPr>
        <w:ind w:firstLineChars="200" w:firstLine="420"/>
      </w:pPr>
      <w:r>
        <w:rPr>
          <w:rFonts w:hint="eastAsia"/>
        </w:rPr>
        <w:br w:type="page"/>
      </w:r>
    </w:p>
    <w:p w:rsidR="00B43696" w:rsidRDefault="006927C8">
      <w:pPr>
        <w:pStyle w:val="3sunshine"/>
        <w:keepNext w:val="0"/>
        <w:wordWrap w:val="0"/>
        <w:topLinePunct w:val="0"/>
        <w:adjustRightInd/>
        <w:snapToGrid/>
        <w:spacing w:before="332" w:after="332"/>
      </w:pPr>
      <w:r>
        <w:lastRenderedPageBreak/>
        <w:t>25.</w:t>
      </w:r>
      <w:r w:rsidR="00722CAA">
        <w:rPr>
          <w:rFonts w:hint="eastAsia"/>
        </w:rPr>
        <w:t xml:space="preserve">　停业登记</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停业登记</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实行定期定额征收的个体工商户或比照定期定额户进行管理的个人独资企业发生停业的，应当在停业前向税务机关书面提出停业报告；纳税人停业期满不能及时恢复生产经营的，在停业期满前到主管税务机关申报办理延长停业报告。</w:t>
      </w:r>
    </w:p>
    <w:p w:rsidR="00B43696" w:rsidRDefault="00722CAA">
      <w:pPr>
        <w:ind w:firstLineChars="200" w:firstLine="420"/>
        <w:rPr>
          <w:rFonts w:eastAsia="宋体"/>
        </w:rPr>
      </w:pPr>
      <w:r>
        <w:rPr>
          <w:rFonts w:ascii="宋体" w:eastAsia="宋体" w:hAnsi="宋体" w:hint="eastAsia"/>
        </w:rPr>
        <w:t>前置条件(征管规范）</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《个体工商户税收定期定额征收管理办法》（国家税务总局令第16号公布，国家税务总局令第44号修改）第二十条、第二十五条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263"/>
        <w:gridCol w:w="2202"/>
        <w:gridCol w:w="675"/>
        <w:gridCol w:w="2123"/>
      </w:tblGrid>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4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44" w:name="_Hlk14367555"/>
            <w:r>
              <w:rPr>
                <w:rFonts w:ascii="黑体" w:eastAsia="黑体" w:hAnsi="黑体" w:cs="Microsoft Himalaya"/>
                <w:sz w:val="18"/>
                <w:szCs w:val="18"/>
              </w:rPr>
              <w:t>1</w:t>
            </w:r>
          </w:p>
        </w:tc>
        <w:tc>
          <w:tcPr>
            <w:tcW w:w="4465"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《停业复业报告书》</w:t>
            </w:r>
          </w:p>
        </w:tc>
        <w:tc>
          <w:tcPr>
            <w:tcW w:w="6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12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有以下情形的，还应提供相应材料</w:t>
            </w:r>
          </w:p>
        </w:tc>
      </w:tr>
      <w:tr w:rsidR="00B43696">
        <w:trPr>
          <w:trHeight w:hRule="exact" w:val="340"/>
          <w:jc w:val="center"/>
        </w:trPr>
        <w:tc>
          <w:tcPr>
            <w:tcW w:w="2933"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适用情形</w:t>
            </w:r>
          </w:p>
        </w:tc>
        <w:tc>
          <w:tcPr>
            <w:tcW w:w="2202"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数量</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293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纳税人存在未缴存税务登记证件</w:t>
            </w:r>
          </w:p>
        </w:tc>
        <w:tc>
          <w:tcPr>
            <w:tcW w:w="2202"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税务登记证正、副本</w:t>
            </w:r>
          </w:p>
        </w:tc>
        <w:tc>
          <w:tcPr>
            <w:tcW w:w="6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12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税务机关封存</w:t>
            </w:r>
          </w:p>
        </w:tc>
      </w:tr>
    </w:tbl>
    <w:bookmarkEnd w:id="44"/>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6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7" name="图片 16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7" name="图片 166"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纳税人在停业期间发生纳税义务的，应当按照税收法律、行政法规的规定申报缴纳税款。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纳税人在申报办理停业登记时，应如实填写停业复业报告书，说明停业理由、停业期限、停业前的纳税情况和发票的领、用、存情况，并结清应纳税款、滞纳金、罚款。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纳税人按申报停业登记时的停业期限准期复业的，应当在停业到期前向主管税务机关申报办理复业登记；纳税人提前复业的，应当在恢复生产经营之前向主管税务机关申报办理复业登记。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纳税人停业期满未按期复业又不申请延长停业的，视为已恢复生产经营，税务机关将纳入正常管理，并按核定税额按期征收税款。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8.</w:t>
      </w:r>
      <w:r>
        <w:rPr>
          <w:rFonts w:ascii="宋体" w:eastAsia="宋体" w:hAnsi="宋体"/>
          <w:sz w:val="24"/>
          <w:szCs w:val="24"/>
        </w:rPr>
        <w:t>纳税人的停业期限不得超过一年。</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9</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26.</w:t>
      </w:r>
      <w:r w:rsidR="00722CAA">
        <w:rPr>
          <w:rFonts w:hint="eastAsia"/>
        </w:rPr>
        <w:t xml:space="preserve">　复业登记</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复业登记</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已办理停业登记的纳税人于恢复生产经营之前，向主管税务机关申报办理复业登记。</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《个体工商户税收定期定额征收管理办法》（国家税务总局令第16号公布，国家税务总局令第44号修改）第二十条、第二十五条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465"/>
        <w:gridCol w:w="675"/>
        <w:gridCol w:w="2123"/>
      </w:tblGrid>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46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46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《停业复业报告书》</w:t>
            </w:r>
          </w:p>
        </w:tc>
        <w:tc>
          <w:tcPr>
            <w:tcW w:w="6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12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6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4" w:anchor="/bsdt?code=bsdt&amp;id=9916" w:history="1">
        <w:r>
          <w:rPr>
            <w:rStyle w:val="af2"/>
            <w:rFonts w:ascii="宋体" w:eastAsia="宋体" w:hAnsi="宋体"/>
            <w:sz w:val="24"/>
            <w:szCs w:val="24"/>
          </w:rPr>
          <w:t>https://etax.xinjiang.chinatax.gov.cn/yhs-web/cxzx/bmap.html#/bsdt?co</w:t>
        </w:r>
        <w:r>
          <w:rPr>
            <w:rStyle w:val="af2"/>
            <w:rFonts w:ascii="宋体" w:eastAsia="宋体" w:hAnsi="宋体"/>
            <w:sz w:val="24"/>
            <w:szCs w:val="24"/>
          </w:rPr>
          <w:lastRenderedPageBreak/>
          <w:t>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8" name="图片 16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8" name="图片 167"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纳税人按申报停业登记时的停业期限准期复业的，应当在停业到期前向主管税务机关申报办理复业登记；纳税人提前复业的，应当在恢复生产经营之前向主管税务机关申报办理复业登记。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纳税人停业期满未按期复业又不申请延长停业的，视为已恢复生产经营，税务机关将纳入正常管理，并按核定税额按期征收税款。</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6</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27.</w:t>
      </w:r>
      <w:r w:rsidR="00722CAA">
        <w:rPr>
          <w:rFonts w:hint="eastAsia"/>
        </w:rPr>
        <w:t xml:space="preserve">　个人所得税递延纳税报告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个人所得税递延纳税报告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非上市公司授予本公司员工的股票期权、股权期权、限制性股票和股权奖励，符合规定条件的，经向主管税务机关备案，可实行递延纳税政策。员工在取得股权激励时可暂不纳税，递延至转让该股权时纳税。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上市公司授予个人的股票期权、限制性股票和股权奖励，经向主管税务机关备案，个人可自股票期权行权、限制性股票解禁或取得股权奖励之日起，在不超过</w:t>
      </w:r>
      <w:r>
        <w:rPr>
          <w:rFonts w:ascii="Times New Roman" w:eastAsia="宋体" w:hAnsi="Times New Roman" w:hint="eastAsia"/>
          <w:sz w:val="24"/>
          <w:szCs w:val="24"/>
        </w:rPr>
        <w:t>12</w:t>
      </w:r>
      <w:r>
        <w:rPr>
          <w:rFonts w:ascii="宋体" w:eastAsia="宋体" w:hAnsi="宋体"/>
          <w:sz w:val="24"/>
          <w:szCs w:val="24"/>
        </w:rPr>
        <w:t>个月的期限内缴纳个人所得税。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个人以技术成果投资入股到境内居民企业，被投资企业支付的对价全部为股票（权）的，经向主管税务机关备案，投资入股当期可暂不纳税，允许递延至转让股权时，按股权转让收入减去技术成果原值和合理税费后的差额计算缴纳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个人因非上市公司实施股权激励或以技术成果投资入股取得的股票（权），实行递延纳税期间，扣缴义务人应向主管税务机关报告。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建立年金计划</w:t>
      </w:r>
      <w:r>
        <w:rPr>
          <w:rFonts w:ascii="宋体" w:eastAsia="宋体" w:hAnsi="宋体" w:hint="eastAsia"/>
          <w:sz w:val="24"/>
          <w:szCs w:val="24"/>
        </w:rPr>
        <w:t>以及年金方案、受托人、托管人发生变化的</w:t>
      </w:r>
      <w:r>
        <w:rPr>
          <w:rFonts w:ascii="宋体" w:eastAsia="宋体" w:hAnsi="宋体"/>
          <w:sz w:val="24"/>
          <w:szCs w:val="24"/>
        </w:rPr>
        <w:t>的企事业单位应向所在地主管税务机关报告企业年金、职业年金情况。</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《财政部　人力资源社会保障部　国家税务总局关于企业年金职业年金个人所得税有关问题的通知》（财税〔2013〕103号）第四条</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《国家税务总局关于股权激励和技术入股所得税征管问题的公告》（国家税务总局公告2016年第62号）第一条第五款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实施符合条件的股权激励，个人选择递延纳税的非上市公司：</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《非上市公司股权激励个人所得税递延纳税备案表》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lastRenderedPageBreak/>
              <w:t>2</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股权激励计划复印件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董事会或股东大会决议等复印件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激励对象任职或从事技术工作情况说明</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5</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本企业及其奖励股权标的企业上一纳税年度主营业务收入构成情况说明</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实施股权激励，个人选择在不超过</w:t>
      </w:r>
      <w:r>
        <w:rPr>
          <w:rFonts w:ascii="Times New Roman" w:eastAsia="宋体" w:hAnsi="Times New Roman" w:hint="eastAsia"/>
          <w:sz w:val="24"/>
          <w:szCs w:val="24"/>
        </w:rPr>
        <w:t>12</w:t>
      </w:r>
      <w:r>
        <w:rPr>
          <w:rFonts w:ascii="宋体" w:eastAsia="宋体" w:hAnsi="宋体"/>
          <w:sz w:val="24"/>
          <w:szCs w:val="24"/>
        </w:rPr>
        <w:t>个月期限内缴税的上市公司：</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06"/>
        <w:gridCol w:w="3036"/>
        <w:gridCol w:w="720"/>
        <w:gridCol w:w="1622"/>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《上市公司股权激励个人所得税延期纳税备案表》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2"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7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0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786" w:type="dxa"/>
            <w:gridSpan w:val="2"/>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上市公司初次办理股权激励备案</w:t>
            </w:r>
          </w:p>
        </w:tc>
        <w:tc>
          <w:tcPr>
            <w:tcW w:w="30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股权激励计划复印件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2"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2786" w:type="dxa"/>
            <w:gridSpan w:val="2"/>
            <w:vMerge/>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c>
          <w:tcPr>
            <w:tcW w:w="30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董事会或股东大会决议复印件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2"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个人以技术成果投资入股境内公司并选择递延纳税的被投资公司：</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《技术成果投资入股个人所得税递延纳税备案表》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技术成果相关证书或证明材料原件及复印件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原件查验后退回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技术成果投资入股协议复印件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技术成果评估报告</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个人因非上市公司实施股权激励或以技术成果投资入股取得的股票（权），递延期间扣缴义务人：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《个人所得税递延纳税情况年度报告表》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建立年金计划</w:t>
      </w:r>
      <w:r>
        <w:rPr>
          <w:rFonts w:ascii="宋体" w:eastAsia="宋体" w:hAnsi="宋体" w:hint="eastAsia"/>
          <w:sz w:val="24"/>
          <w:szCs w:val="24"/>
        </w:rPr>
        <w:t>以及年金方案、受托人、托管人发生变化的</w:t>
      </w:r>
      <w:r>
        <w:rPr>
          <w:rFonts w:ascii="宋体" w:eastAsia="宋体" w:hAnsi="宋体"/>
          <w:sz w:val="24"/>
          <w:szCs w:val="24"/>
        </w:rPr>
        <w:t>的企事业单位：</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《企业年金、职业年金个人所得税递延纳税备案表》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年金方案复印件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人力资源社会保障部门出具的方案备案函、计划确认函复印件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bCs w:val="0"/>
        </w:rPr>
        <w:t>1.</w:t>
      </w: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bCs w:val="0"/>
        </w:rPr>
      </w:pPr>
      <w:hyperlink r:id="rId6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ordWrap w:val="0"/>
        <w:adjustRightInd/>
        <w:snapToGrid/>
        <w:rPr>
          <w:rFonts w:ascii="宋体" w:eastAsia="宋体" w:hAnsi="宋体"/>
          <w:bCs w:val="0"/>
        </w:rPr>
      </w:pPr>
      <w:r>
        <w:rPr>
          <w:rFonts w:ascii="宋体" w:eastAsia="宋体" w:hAnsi="宋体" w:hint="eastAsia"/>
          <w:bCs w:val="0"/>
        </w:rPr>
        <w:t>2.企业年金、职业年金情况报告可在全国通办。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24025"/>
            <wp:effectExtent l="0" t="0" r="12700" b="0"/>
            <wp:docPr id="29" name="图片 168"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29" name="图片 168" descr="C:\Users\baoqianyu\Desktop\流程图\即办\纳税人（扣缴义务人）.png纳税人（扣缴义务人）"/>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纳税人、扣缴义务人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w:t>
      </w:r>
      <w:r>
        <w:rPr>
          <w:rFonts w:ascii="宋体" w:eastAsia="宋体" w:hAnsi="宋体" w:hint="eastAsia"/>
          <w:sz w:val="24"/>
          <w:szCs w:val="24"/>
        </w:rPr>
        <w:t>纳税人、扣缴义务人</w:t>
      </w:r>
      <w:r>
        <w:rPr>
          <w:rFonts w:ascii="宋体" w:eastAsia="宋体" w:hAnsi="宋体"/>
          <w:sz w:val="24"/>
          <w:szCs w:val="24"/>
        </w:rPr>
        <w:t>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hint="eastAsia"/>
          <w:sz w:val="24"/>
          <w:szCs w:val="24"/>
        </w:rPr>
        <w:t>纳税人、扣缴义务人</w:t>
      </w:r>
      <w:r>
        <w:rPr>
          <w:rFonts w:ascii="宋体" w:eastAsia="宋体" w:hAnsi="宋体"/>
          <w:sz w:val="24"/>
          <w:szCs w:val="24"/>
        </w:rPr>
        <w:t>提交的各项资料为复印件的，均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股权激励计划所列内容不同时满足递延纳税全部条件，或递延纳税期间公司情况发生变化，不再符合递延纳税条件的，不得享受递延纳税优惠，应于情况发生变化之次月</w:t>
      </w:r>
      <w:r>
        <w:rPr>
          <w:rFonts w:ascii="Times New Roman" w:eastAsia="宋体" w:hAnsi="Times New Roman" w:hint="eastAsia"/>
          <w:sz w:val="24"/>
          <w:szCs w:val="24"/>
        </w:rPr>
        <w:t>15</w:t>
      </w:r>
      <w:r>
        <w:rPr>
          <w:rFonts w:ascii="宋体" w:eastAsia="宋体" w:hAnsi="宋体"/>
          <w:sz w:val="24"/>
          <w:szCs w:val="24"/>
        </w:rPr>
        <w:t>日内，按规定计算缴纳个人所得税。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纳税人取得符合条件、实行递延纳税政策的股权激励，与不符合递延纳税条件的股权激励</w:t>
      </w:r>
      <w:r>
        <w:rPr>
          <w:rFonts w:ascii="宋体" w:eastAsia="宋体" w:hAnsi="宋体" w:hint="eastAsia"/>
          <w:sz w:val="24"/>
          <w:szCs w:val="24"/>
        </w:rPr>
        <w:t>应</w:t>
      </w:r>
      <w:r>
        <w:rPr>
          <w:rFonts w:ascii="宋体" w:eastAsia="宋体" w:hAnsi="宋体"/>
          <w:sz w:val="24"/>
          <w:szCs w:val="24"/>
        </w:rPr>
        <w:t>分别计算。</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7.</w:t>
      </w:r>
      <w:r>
        <w:rPr>
          <w:rFonts w:ascii="宋体" w:eastAsia="宋体" w:hAnsi="宋体"/>
          <w:sz w:val="24"/>
          <w:szCs w:val="24"/>
        </w:rPr>
        <w:t>非上市公司实施符合条件的股权激励，个人选择递延纳税的，非上市公司应于股票（权）期权行权、限制性股票解禁、股权奖励获得之次月</w:t>
      </w:r>
      <w:r>
        <w:rPr>
          <w:rFonts w:ascii="Times New Roman" w:eastAsia="宋体" w:hAnsi="Times New Roman" w:hint="eastAsia"/>
          <w:sz w:val="24"/>
          <w:szCs w:val="24"/>
        </w:rPr>
        <w:t>15</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上市公司实施股权激励，个人选择在不超过</w:t>
      </w:r>
      <w:r>
        <w:rPr>
          <w:rFonts w:ascii="Times New Roman" w:eastAsia="宋体" w:hAnsi="Times New Roman" w:hint="eastAsia"/>
          <w:sz w:val="24"/>
          <w:szCs w:val="24"/>
        </w:rPr>
        <w:t>12</w:t>
      </w:r>
      <w:r>
        <w:rPr>
          <w:rFonts w:ascii="宋体" w:eastAsia="宋体" w:hAnsi="宋体"/>
          <w:sz w:val="24"/>
          <w:szCs w:val="24"/>
        </w:rPr>
        <w:t>个月期限内缴税的，上市公司应自股票期权行权、限制性股票解禁、股权奖励获得之次月</w:t>
      </w:r>
      <w:r>
        <w:rPr>
          <w:rFonts w:ascii="Times New Roman" w:eastAsia="宋体" w:hAnsi="Times New Roman" w:hint="eastAsia"/>
          <w:sz w:val="24"/>
          <w:szCs w:val="24"/>
        </w:rPr>
        <w:t>15</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个人以技术成果投资入股境内公司并选择递延纳税的，被投资公司应于取得技术成果并支付股权之次月</w:t>
      </w:r>
      <w:r>
        <w:rPr>
          <w:rFonts w:ascii="Times New Roman" w:eastAsia="宋体" w:hAnsi="Times New Roman" w:hint="eastAsia"/>
          <w:sz w:val="24"/>
          <w:szCs w:val="24"/>
        </w:rPr>
        <w:t>15</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个人因非上市公司实施股权激励或以技术成果投资入股取得的股票（权），实行递延纳税期间，扣缴义务人应于每个纳税年度终了后</w:t>
      </w:r>
      <w:r>
        <w:rPr>
          <w:rFonts w:ascii="Times New Roman" w:eastAsia="宋体" w:hAnsi="Times New Roman" w:hint="eastAsia"/>
          <w:sz w:val="24"/>
          <w:szCs w:val="24"/>
        </w:rPr>
        <w:t>30</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建立年金计划的企事业单位应在建立年金计划的次月</w:t>
      </w:r>
      <w:r>
        <w:rPr>
          <w:rFonts w:ascii="Times New Roman" w:eastAsia="宋体" w:hAnsi="Times New Roman" w:hint="eastAsia"/>
          <w:sz w:val="24"/>
          <w:szCs w:val="24"/>
        </w:rPr>
        <w:t>15</w:t>
      </w:r>
      <w:r>
        <w:rPr>
          <w:rFonts w:ascii="宋体" w:eastAsia="宋体" w:hAnsi="宋体"/>
          <w:sz w:val="24"/>
          <w:szCs w:val="24"/>
        </w:rPr>
        <w:t>日内，向所在地主管税务机关报告企业年金、职业年金情况。年金方案、受托人、托管人发生变化的，应于发生变化的次月</w:t>
      </w:r>
      <w:r>
        <w:rPr>
          <w:rFonts w:ascii="Times New Roman" w:eastAsia="宋体" w:hAnsi="Times New Roman" w:hint="eastAsia"/>
          <w:sz w:val="24"/>
          <w:szCs w:val="24"/>
        </w:rPr>
        <w:t>15</w:t>
      </w:r>
      <w:r>
        <w:rPr>
          <w:rFonts w:ascii="宋体" w:eastAsia="宋体" w:hAnsi="宋体"/>
          <w:sz w:val="24"/>
          <w:szCs w:val="24"/>
        </w:rPr>
        <w:t>日内重新报告。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企业年金，是指根据《企业年金试行办法》的规定，企业及其职工在依法参加基本养老保险的基础上，自愿建立的补充养老保险制度。所称职业年金是指根据《事业单位职业年金试行办法》的规定，事业单位及其工作人员在依法参加基本养老保险的基础上，建立的补充养老保险制度。</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13.</w:t>
      </w:r>
      <w:r>
        <w:rPr>
          <w:rFonts w:ascii="宋体" w:eastAsia="宋体" w:hAnsi="宋体"/>
          <w:sz w:val="24"/>
          <w:szCs w:val="24"/>
        </w:rPr>
        <w:t>个人享受企业年金、职业年金递延纳税政策的，达到国家规定的退休年龄领取企业年金、职业年金时，领取部分不并入综合所得，全额单独计算应纳税款。其中按月领取的，适用月度税率表计算纳税;按季领取的，平均分摊计入各月，按每月领取额适用月度税率表计算纳税;按年领取的，适用综合所得税率表计算纳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14.</w:t>
      </w:r>
      <w:r>
        <w:rPr>
          <w:rFonts w:ascii="宋体" w:eastAsia="宋体" w:hAnsi="宋体"/>
          <w:sz w:val="24"/>
          <w:szCs w:val="24"/>
        </w:rPr>
        <w:t>年金托管人在第一次代扣代缴年金领取人的个人所得税时，应在《个人所得税基础信息表（</w:t>
      </w:r>
      <w:r>
        <w:rPr>
          <w:rFonts w:ascii="宋体" w:eastAsia="宋体" w:hAnsi="宋体" w:hint="eastAsia"/>
          <w:sz w:val="24"/>
          <w:szCs w:val="24"/>
        </w:rPr>
        <w:t>A</w:t>
      </w:r>
      <w:r>
        <w:rPr>
          <w:rFonts w:ascii="宋体" w:eastAsia="宋体" w:hAnsi="宋体"/>
          <w:sz w:val="24"/>
          <w:szCs w:val="24"/>
        </w:rPr>
        <w:t>表）》“备注”中注明“年金领取”字样。</w:t>
      </w: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28.</w:t>
      </w:r>
      <w:r w:rsidR="00722CAA">
        <w:rPr>
          <w:rFonts w:hint="eastAsia"/>
        </w:rPr>
        <w:t xml:space="preserve">　科技成果转化暂不征收个人所得税备案</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科技成果转化暂不征收个人所得税备案</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将职务科技成果转化为股份、投资比例的科研机构、高等学校或者获奖人员，应在授（获）奖的次月15日内向主管税务机关备案</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《国家税务总局关于3项个人所得税事项取消审批实施后续管理的公告》（国家税务总局公告2016年第5号）第一条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《科技成果转化暂不征收个人所得税备案表》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6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lastRenderedPageBreak/>
        <w:t>主管税务机关对外公开的联系电话，可点击下列链接通过办税地图获取：</w:t>
      </w:r>
      <w:hyperlink r:id="rId6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33340" cy="1707515"/>
            <wp:effectExtent l="0" t="0" r="2540" b="0"/>
            <wp:docPr id="30" name="图片 16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30" name="图片 169" descr="C:\Users\baoqianyu\Desktop\流程图\即办\纳税人（扣缴义务人）.png纳税人（扣缴义务人）"/>
                    <pic:cNvPicPr/>
                  </pic:nvPicPr>
                  <pic:blipFill>
                    <a:blip r:embed="rId19" cstate="print"/>
                    <a:stretch>
                      <a:fillRect/>
                    </a:stretch>
                  </pic:blipFill>
                  <pic:spPr>
                    <a:xfrm>
                      <a:off x="0" y="0"/>
                      <a:ext cx="5133340" cy="170751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bCs/>
          <w:sz w:val="24"/>
          <w:szCs w:val="24"/>
        </w:rPr>
        <w:t>【</w:t>
      </w:r>
      <w:r>
        <w:rPr>
          <w:rFonts w:ascii="黑体" w:eastAsia="黑体" w:hAnsi="黑体" w:hint="eastAsia"/>
          <w:bCs/>
          <w:sz w:val="24"/>
          <w:szCs w:val="24"/>
        </w:rPr>
        <w:t>纳税人、</w:t>
      </w:r>
      <w:r>
        <w:rPr>
          <w:rFonts w:ascii="黑体" w:eastAsia="黑体" w:hAnsi="黑体"/>
          <w:bCs/>
          <w:sz w:val="24"/>
          <w:szCs w:val="24"/>
        </w:rPr>
        <w:t>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纳税人、</w:t>
      </w:r>
      <w:r>
        <w:rPr>
          <w:rFonts w:ascii="宋体" w:eastAsia="宋体" w:hAnsi="宋体"/>
          <w:sz w:val="24"/>
          <w:szCs w:val="24"/>
        </w:rPr>
        <w:t>扣缴义务人对报送材料的真实性和合法性承担责任。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科研机构是指按中央机构编制委员会和国家科学技术委员会《关于科研事业单位机构设置审批事项的通知》（中编办发〔</w:t>
      </w:r>
      <w:r>
        <w:rPr>
          <w:rFonts w:ascii="Times New Roman" w:eastAsia="宋体" w:hAnsi="Times New Roman" w:hint="eastAsia"/>
          <w:sz w:val="24"/>
          <w:szCs w:val="24"/>
        </w:rPr>
        <w:t>1997</w:t>
      </w:r>
      <w:r>
        <w:rPr>
          <w:rFonts w:ascii="宋体" w:eastAsia="宋体" w:hAnsi="宋体"/>
          <w:sz w:val="24"/>
          <w:szCs w:val="24"/>
        </w:rPr>
        <w:t>〕</w:t>
      </w:r>
      <w:r>
        <w:rPr>
          <w:rFonts w:ascii="Times New Roman" w:eastAsia="宋体" w:hAnsi="Times New Roman" w:hint="eastAsia"/>
          <w:sz w:val="24"/>
          <w:szCs w:val="24"/>
        </w:rPr>
        <w:t>14</w:t>
      </w:r>
      <w:r>
        <w:rPr>
          <w:rFonts w:ascii="宋体" w:eastAsia="宋体" w:hAnsi="宋体"/>
          <w:sz w:val="24"/>
          <w:szCs w:val="24"/>
        </w:rPr>
        <w:t>号）的规定设置审批的自然科学研究事业单位机构；高等学校是指全日制普通高等学校（包括大学、专门学院和高等专科学校）。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奖励单位需将技术成果价值评估报告、股权奖励文件及其他证明材料留存备查。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享受此项政策的科技人员必</w:t>
      </w:r>
      <w:r>
        <w:rPr>
          <w:rFonts w:ascii="宋体" w:eastAsia="宋体" w:hAnsi="宋体" w:hint="eastAsia"/>
          <w:sz w:val="24"/>
          <w:szCs w:val="24"/>
        </w:rPr>
        <w:t>需</w:t>
      </w:r>
      <w:r>
        <w:rPr>
          <w:rFonts w:ascii="宋体" w:eastAsia="宋体" w:hAnsi="宋体"/>
          <w:sz w:val="24"/>
          <w:szCs w:val="24"/>
        </w:rPr>
        <w:t>是科研机构和高等学校的在编正式职工。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在获奖人按股份、出资比例获得分红时，对其所得按“利息、股息、红利所得”应税项目征收个人所得税。获奖人转让股权、出资比例，对其所得按“财产转让所得”应税项目征收个人所得税，财产原值为零。</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7</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29.</w:t>
      </w:r>
      <w:r w:rsidR="00722CAA">
        <w:rPr>
          <w:rFonts w:hint="eastAsia"/>
        </w:rPr>
        <w:t xml:space="preserve">　个人所得税分期缴纳报告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个人所得税分期缴纳报告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1.个人以非货币性资产投资，一次性缴税有困难的，可合理确定分期缴纳计划并报主管税务机关备案，自发生应税行为之日起不超过5个公历年度内（含）分期缴纳个人所得税。</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中小高新技术企业以未分配利润、盈余公积、资本公积向个人股东转增股本时，个人股东一次缴纳个人所得税确有困难的，可自行制定分期缴税计划，由企业向主管税务机关办理报告备案，在不超过5个公历年度内（含）分期缴纳。</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3.高新技术企业转化科技成果，给予本企业相关技术人员的股权奖励，个人一次缴纳税款有困难的，可自行制定分期缴税计划，由企业向主管税务机关办理报告备案，在不超过5个公历年度内（含）分期缴纳。</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1.《财政部　国家税务总局关于个人非货币性资产投资有关个人所得税政策的通知》（财税〔2015〕41号）第三条</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2.《财政部　国家税务总局关于将国家自主创新示范区有关税收试点政策推广到全国范围实施的通知》（财税〔2015〕116号）第三条第一项、第四条第一项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《国家税务总局关于股权奖励和转增股本个人所得税征管问题的公告》（国家税务总局公告</w:t>
      </w:r>
      <w:r>
        <w:rPr>
          <w:rFonts w:ascii="Times New Roman" w:eastAsia="宋体" w:hAnsi="Times New Roman" w:hint="eastAsia"/>
          <w:sz w:val="24"/>
          <w:szCs w:val="24"/>
        </w:rPr>
        <w:t>2015</w:t>
      </w:r>
      <w:r>
        <w:rPr>
          <w:rFonts w:ascii="宋体" w:eastAsia="宋体" w:hAnsi="宋体"/>
          <w:sz w:val="24"/>
          <w:szCs w:val="24"/>
        </w:rPr>
        <w:t>年第</w:t>
      </w:r>
      <w:r>
        <w:rPr>
          <w:rFonts w:ascii="Times New Roman" w:eastAsia="宋体" w:hAnsi="Times New Roman" w:hint="eastAsia"/>
          <w:sz w:val="24"/>
          <w:szCs w:val="24"/>
        </w:rPr>
        <w:t>80</w:t>
      </w:r>
      <w:r>
        <w:rPr>
          <w:rFonts w:ascii="宋体" w:eastAsia="宋体" w:hAnsi="宋体"/>
          <w:sz w:val="24"/>
          <w:szCs w:val="24"/>
        </w:rPr>
        <w:t>号）第三条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以非货币性资产投资选择分期纳税的纳税人：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《非货币性资产投资分期缴纳个人所得税备案表》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投资协议原件及复印件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纳税人身份证件</w:t>
            </w:r>
            <w:r>
              <w:rPr>
                <w:rFonts w:ascii="黑体" w:eastAsia="黑体" w:hAnsi="黑体" w:cs="Microsoft Himalaya" w:hint="eastAsia"/>
                <w:sz w:val="18"/>
                <w:szCs w:val="18"/>
              </w:rPr>
              <w:t>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非货币性资产评估价格证明材料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lastRenderedPageBreak/>
              <w:t>5</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能够证明非货币性资产原值及合理税费的相关资料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381"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35"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3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未完成自然人信息采集</w:t>
            </w:r>
          </w:p>
        </w:tc>
        <w:tc>
          <w:tcPr>
            <w:tcW w:w="2835"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《个人所得税基础信息表（B表）》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办理股权奖励分期纳税的企业：</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《个人所得税分期缴纳备案表（股权奖励）》</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高新技术企业认定证书原件及复印件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原件查验后退回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股东大会或董事会决议复印件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相关技术人员参与技术活动的说明材料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企业股权奖励计划</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能够证明股权或股票价格的有关材料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企业转化科技成果的说明</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最近一期企业财务报表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办理转增股本分期纳税的企业：</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《个人所得税分期缴纳备案表（转增股本）》</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高新技术企业认定证书原件及复印件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原件查验后退回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股东大会或董事会决议复印件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上年度及转增股本当月企业财务报表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转增股本有关情况说明</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6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24025"/>
            <wp:effectExtent l="0" t="0" r="12700" b="0"/>
            <wp:docPr id="31" name="图片 170"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31" name="图片 170" descr="C:\Users\baoqianyu\Desktop\流程图\即办\纳税人（扣缴义务人）.png纳税人（扣缴义务人）"/>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纳税人、扣缴义务人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hint="eastAsia"/>
          <w:sz w:val="24"/>
          <w:szCs w:val="24"/>
        </w:rPr>
        <w:t>纳税人、扣缴义务人</w:t>
      </w:r>
      <w:r>
        <w:rPr>
          <w:rFonts w:ascii="宋体" w:eastAsia="宋体" w:hAnsi="宋体"/>
          <w:sz w:val="24"/>
          <w:szCs w:val="24"/>
        </w:rPr>
        <w:t>提交的各项资料为复印件的，均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个人以非货币性资产投资，一次性缴税有困难的，应于取得被投资企业股权之日的次月</w:t>
      </w:r>
      <w:r>
        <w:rPr>
          <w:rFonts w:ascii="Times New Roman" w:eastAsia="宋体" w:hAnsi="Times New Roman" w:hint="eastAsia"/>
          <w:sz w:val="24"/>
          <w:szCs w:val="24"/>
        </w:rPr>
        <w:t>15</w:t>
      </w:r>
      <w:r>
        <w:rPr>
          <w:rFonts w:ascii="宋体" w:eastAsia="宋体" w:hAnsi="宋体"/>
          <w:sz w:val="24"/>
          <w:szCs w:val="24"/>
        </w:rPr>
        <w:t>日内合理确定分期缴纳计划并报主管税务机关备案。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中小高新技术企业以未分配利润、盈余公积、资本公积向个人股东转增股本时，企业应于发生转增股本的次月</w:t>
      </w:r>
      <w:r>
        <w:rPr>
          <w:rFonts w:ascii="Times New Roman" w:eastAsia="宋体" w:hAnsi="Times New Roman" w:hint="eastAsia"/>
          <w:sz w:val="24"/>
          <w:szCs w:val="24"/>
        </w:rPr>
        <w:t>15</w:t>
      </w:r>
      <w:r>
        <w:rPr>
          <w:rFonts w:ascii="宋体" w:eastAsia="宋体" w:hAnsi="宋体"/>
          <w:sz w:val="24"/>
          <w:szCs w:val="24"/>
        </w:rPr>
        <w:t>日内，向主管税务机关办理报告备案。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高新技术企业转化科技成果，给予本企业相关技术人员的股权奖励，企业应于发生股权奖励的次月</w:t>
      </w:r>
      <w:r>
        <w:rPr>
          <w:rFonts w:ascii="Times New Roman" w:eastAsia="宋体" w:hAnsi="Times New Roman" w:hint="eastAsia"/>
          <w:sz w:val="24"/>
          <w:szCs w:val="24"/>
        </w:rPr>
        <w:t>15</w:t>
      </w:r>
      <w:r>
        <w:rPr>
          <w:rFonts w:ascii="宋体" w:eastAsia="宋体" w:hAnsi="宋体"/>
          <w:sz w:val="24"/>
          <w:szCs w:val="24"/>
        </w:rPr>
        <w:t>日内，向主管税务机关办理报告备案。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个人以非货币性资产投资交易过程中取得现金补价的，现金部分应优先用于缴税；现金不足以缴纳的部分，可分期缴纳。</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个人在分期缴税期间转让其持有的全部或部分股权，并取得现金收入的，该现金收入应优先用于缴纳尚未缴清的税款。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非货币性资产投资，包括以非货币性资产出资设立新的企业，以及以非货币性资产出资参与企业增资扩股、定向增发股票、股权置换、重组改制等投资行</w:t>
      </w:r>
      <w:r>
        <w:rPr>
          <w:rFonts w:ascii="宋体" w:eastAsia="宋体" w:hAnsi="宋体"/>
          <w:sz w:val="24"/>
          <w:szCs w:val="24"/>
        </w:rPr>
        <w:lastRenderedPageBreak/>
        <w:t>为。</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hint="eastAsia"/>
          <w:sz w:val="24"/>
          <w:szCs w:val="24"/>
        </w:rPr>
        <w:t>可分期缴纳个人所得税的相关技术人员</w:t>
      </w:r>
      <w:r>
        <w:rPr>
          <w:rFonts w:ascii="宋体" w:eastAsia="宋体" w:hAnsi="宋体"/>
          <w:sz w:val="24"/>
          <w:szCs w:val="24"/>
        </w:rPr>
        <w:t>是指经公司董事会和股东大会决议批准获得股权奖励的以下两类人员：</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）对企业科技成果研发和产业化作出突出贡献的技术人员，包括企业内关键职务科技成果的主要完成人、重大开发项目的负责人、对主导产品或者核心技术、工艺流程作出重大创新或者改进的主要技术人员。</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）对企业发展作出突出贡献的经营管理人员，包括主持企业全面生产经营工作的高级管理人员，负责企业主要产品（服务）生产经营合计占主营业务收入（或者主营业务利润）</w:t>
      </w:r>
      <w:r>
        <w:rPr>
          <w:rFonts w:ascii="Times New Roman" w:eastAsia="宋体" w:hAnsi="Times New Roman" w:hint="eastAsia"/>
          <w:sz w:val="24"/>
          <w:szCs w:val="24"/>
        </w:rPr>
        <w:t>50</w:t>
      </w:r>
      <w:r>
        <w:rPr>
          <w:rFonts w:ascii="宋体" w:eastAsia="宋体" w:hAnsi="宋体"/>
          <w:sz w:val="24"/>
          <w:szCs w:val="24"/>
        </w:rPr>
        <w:t>%以上的中、高级经营管理人员。</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纳税人享受非货币性资产投资分期缴税政策期间需要变更原分期缴税计划的，应重新制定分期缴税计划，并向主管税务机关重新报送备案；纳税人享受股权激励或转增股本分期缴税政策期间需变更原分期缴税计划的，应重新制定分期缴税计划，由扣缴义务人向主管税务机关重新报送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13.</w:t>
      </w:r>
      <w:r>
        <w:rPr>
          <w:rFonts w:ascii="宋体" w:eastAsia="宋体" w:hAnsi="宋体"/>
          <w:sz w:val="24"/>
          <w:szCs w:val="24"/>
        </w:rPr>
        <w:t>扣缴义务人在填写《</w:t>
      </w:r>
      <w:r>
        <w:rPr>
          <w:rFonts w:ascii="宋体" w:eastAsia="宋体" w:hAnsi="宋体" w:hint="eastAsia"/>
          <w:sz w:val="24"/>
          <w:szCs w:val="24"/>
        </w:rPr>
        <w:t>个人所得税扣缴申报表</w:t>
      </w:r>
      <w:r>
        <w:rPr>
          <w:rFonts w:ascii="宋体" w:eastAsia="宋体" w:hAnsi="宋体"/>
          <w:sz w:val="24"/>
          <w:szCs w:val="24"/>
        </w:rPr>
        <w:t>》时，应将纳税人取得股权奖励或转增股本情况单独填列，并在“备注”栏中注明“股权奖励”或“转增股本”字样。</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14.</w:t>
      </w:r>
      <w:r>
        <w:rPr>
          <w:rFonts w:ascii="宋体" w:eastAsia="宋体" w:hAnsi="宋体"/>
          <w:sz w:val="24"/>
          <w:szCs w:val="24"/>
        </w:rPr>
        <w:t>纳税人在分期缴税期间取得分红或转让股权的，扣缴义务人应及时代扣股权奖励或转增股本尚未缴清的个人所得税，并于次月</w:t>
      </w:r>
      <w:r>
        <w:rPr>
          <w:rFonts w:ascii="Times New Roman" w:eastAsia="宋体" w:hAnsi="Times New Roman" w:hint="eastAsia"/>
          <w:sz w:val="24"/>
          <w:szCs w:val="24"/>
        </w:rPr>
        <w:t>15</w:t>
      </w:r>
      <w:r>
        <w:rPr>
          <w:rFonts w:ascii="宋体" w:eastAsia="宋体" w:hAnsi="宋体"/>
          <w:sz w:val="24"/>
          <w:szCs w:val="24"/>
        </w:rPr>
        <w:t>日内向主管税务机关申报纳税。</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w:t>
      </w: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30.</w:t>
      </w:r>
      <w:r w:rsidR="00722CAA">
        <w:rPr>
          <w:rFonts w:hint="eastAsia"/>
        </w:rPr>
        <w:t xml:space="preserve">　个人所得税抵扣情况报告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个人所得税抵扣情况报告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天使投资个人转让未上市的初创科技型企业股权，享受投资抵扣税收优惠时，应于股权转让次月15日内向主管税务机关报告。</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合伙创投企业的个人合伙人享受投资抵扣税收政策的，合伙创投企业应在投资初创科技型企业满2年后的每个年度终了后3个月内，向合伙创投企业主管税务机关报告。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bCs w:val="0"/>
        </w:rPr>
        <w:t>《</w:t>
      </w:r>
      <w:r>
        <w:rPr>
          <w:rFonts w:ascii="宋体" w:eastAsia="宋体" w:hAnsi="宋体" w:hint="eastAsia"/>
          <w:bCs w:val="0"/>
        </w:rPr>
        <w:t>国家税务总局关于创业投资企业和天使投资个人税收政策有关问题的公告</w:t>
      </w:r>
      <w:r>
        <w:rPr>
          <w:rFonts w:ascii="宋体" w:eastAsia="宋体" w:hAnsi="宋体"/>
          <w:bCs w:val="0"/>
        </w:rPr>
        <w:t>》</w:t>
      </w:r>
      <w:r>
        <w:rPr>
          <w:rFonts w:ascii="宋体" w:eastAsia="宋体" w:hAnsi="宋体" w:hint="eastAsia"/>
          <w:bCs w:val="0"/>
        </w:rPr>
        <w:t>（国家税务总局公告2018年第43号）第二条第二款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1.天使投资个人情况报告</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621AA5">
            <w:pPr>
              <w:wordWrap w:val="0"/>
              <w:jc w:val="center"/>
              <w:rPr>
                <w:rFonts w:ascii="黑体" w:eastAsia="黑体" w:hAnsi="黑体" w:cs="Microsoft Himalaya"/>
                <w:sz w:val="18"/>
                <w:szCs w:val="18"/>
              </w:rPr>
            </w:pPr>
            <w:hyperlink r:id="rId71" w:history="1">
              <w:r w:rsidR="00722CAA">
                <w:rPr>
                  <w:rFonts w:ascii="黑体" w:eastAsia="黑体" w:hAnsi="黑体" w:cs="Microsoft Himalaya" w:hint="eastAsia"/>
                  <w:sz w:val="18"/>
                  <w:szCs w:val="18"/>
                </w:rPr>
                <w:t>《天使投资个人所得税投资抵扣情况表》</w:t>
              </w:r>
            </w:hyperlink>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val="692"/>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初创科技型企业主管税务机关受理的</w:t>
            </w:r>
            <w:hyperlink r:id="rId72" w:history="1">
              <w:r>
                <w:rPr>
                  <w:rFonts w:ascii="黑体" w:eastAsia="黑体" w:hAnsi="黑体" w:cs="Microsoft Himalaya" w:hint="eastAsia"/>
                  <w:sz w:val="18"/>
                  <w:szCs w:val="18"/>
                </w:rPr>
                <w:t>《天使投资个人所得税投资抵扣备案表》</w:t>
              </w:r>
            </w:hyperlink>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pStyle w:val="af5"/>
        <w:wordWrap w:val="0"/>
        <w:adjustRightInd/>
        <w:snapToGrid/>
        <w:rPr>
          <w:rFonts w:ascii="宋体" w:eastAsia="宋体" w:hAnsi="宋体"/>
          <w:bCs w:val="0"/>
        </w:rPr>
      </w:pPr>
      <w:r>
        <w:rPr>
          <w:rFonts w:ascii="宋体" w:eastAsia="宋体" w:hAnsi="宋体" w:hint="eastAsia"/>
          <w:bCs w:val="0"/>
        </w:rPr>
        <w:t>2.合伙创投企业情况报告</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69"/>
        <w:gridCol w:w="712"/>
        <w:gridCol w:w="2277"/>
      </w:tblGrid>
      <w:tr w:rsidR="00B43696">
        <w:trPr>
          <w:trHeight w:hRule="exac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6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7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69" w:type="dxa"/>
            <w:tcBorders>
              <w:top w:val="single" w:sz="4" w:space="0" w:color="auto"/>
              <w:left w:val="single" w:sz="4" w:space="0" w:color="auto"/>
              <w:bottom w:val="single" w:sz="4" w:space="0" w:color="auto"/>
              <w:right w:val="single" w:sz="4" w:space="0" w:color="auto"/>
            </w:tcBorders>
            <w:vAlign w:val="center"/>
          </w:tcPr>
          <w:p w:rsidR="00B43696" w:rsidRDefault="00621AA5">
            <w:pPr>
              <w:wordWrap w:val="0"/>
              <w:jc w:val="center"/>
              <w:rPr>
                <w:rFonts w:ascii="黑体" w:eastAsia="黑体" w:hAnsi="黑体" w:cs="Microsoft Himalaya"/>
                <w:sz w:val="18"/>
                <w:szCs w:val="18"/>
              </w:rPr>
            </w:pPr>
            <w:hyperlink r:id="rId73" w:history="1">
              <w:r w:rsidR="00722CAA">
                <w:rPr>
                  <w:rFonts w:ascii="黑体" w:eastAsia="黑体" w:hAnsi="黑体" w:cs="Microsoft Himalaya" w:hint="eastAsia"/>
                  <w:sz w:val="18"/>
                  <w:szCs w:val="18"/>
                </w:rPr>
                <w:t>《合伙创投企业个人所得税投资抵扣情况表》</w:t>
              </w:r>
            </w:hyperlink>
          </w:p>
        </w:tc>
        <w:tc>
          <w:tcPr>
            <w:tcW w:w="71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74"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5"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黑体" w:eastAsia="黑体" w:hAnsi="黑体"/>
          <w:bCs/>
          <w:noProof/>
        </w:rPr>
        <w:drawing>
          <wp:inline distT="0" distB="0" distL="114300" distR="114300">
            <wp:extent cx="5184140" cy="1724025"/>
            <wp:effectExtent l="0" t="0" r="12700" b="0"/>
            <wp:docPr id="32" name="图片 170"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0" descr="C:\Users\baoqianyu\Desktop\流程图\即办\纳税人（扣缴义务人）.png纳税人（扣缴义务人）"/>
                    <pic:cNvPicPr>
                      <a:picLocks noChangeAspect="1"/>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bCs/>
          <w:sz w:val="24"/>
          <w:szCs w:val="24"/>
        </w:rPr>
        <w:t>【</w:t>
      </w:r>
      <w:r>
        <w:rPr>
          <w:rFonts w:ascii="黑体" w:eastAsia="黑体" w:hAnsi="黑体" w:hint="eastAsia"/>
          <w:bCs/>
          <w:sz w:val="24"/>
          <w:szCs w:val="24"/>
        </w:rPr>
        <w:t>纳税人、扣缴义务人</w:t>
      </w:r>
      <w:r>
        <w:rPr>
          <w:rFonts w:ascii="黑体" w:eastAsia="黑体" w:hAnsi="黑体"/>
          <w:bCs/>
          <w:sz w:val="24"/>
          <w:szCs w:val="24"/>
        </w:rPr>
        <w:t>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纳税人、扣缴义务人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天使投资个人、合伙创投企业、初创科技型企业提供虚假情况、故意隐瞒已投资抵扣情况或采取其他手段骗取投资抵扣，不缴或者少缴应纳税款的，按税收征管法有关规定处理，并将其列入失信纳税人名单，按规定实施联合惩戒措施。</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享受投资抵扣税收政策的天使投资个人，应同时符合以下条件：不属于被投资初创科技型企业的发起人、雇员或其亲属（包括配偶、父母、子女、祖父母、外祖父母、孙子女、外孙子女、兄弟姐妹，下同），且与被投资初创科技型企业不存在劳务派遣等关系；投资后</w:t>
      </w:r>
      <w:r>
        <w:rPr>
          <w:rFonts w:ascii="Times New Roman" w:eastAsia="宋体" w:hAnsi="Times New Roman" w:hint="eastAsia"/>
          <w:sz w:val="24"/>
          <w:szCs w:val="24"/>
        </w:rPr>
        <w:t>2</w:t>
      </w:r>
      <w:r>
        <w:rPr>
          <w:rFonts w:ascii="宋体" w:eastAsia="宋体" w:hAnsi="宋体"/>
          <w:sz w:val="24"/>
          <w:szCs w:val="24"/>
        </w:rPr>
        <w:t>年内，本人及其亲属持有被投资初创科技型企业股权比例合计应低于</w:t>
      </w:r>
      <w:r>
        <w:rPr>
          <w:rFonts w:ascii="Times New Roman" w:eastAsia="宋体" w:hAnsi="Times New Roman" w:hint="eastAsia"/>
          <w:sz w:val="24"/>
          <w:szCs w:val="24"/>
        </w:rPr>
        <w:t>50</w:t>
      </w:r>
      <w:r>
        <w:rPr>
          <w:rFonts w:ascii="宋体" w:eastAsia="宋体" w:hAnsi="宋体"/>
          <w:sz w:val="24"/>
          <w:szCs w:val="24"/>
        </w:rPr>
        <w:t>%。</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享受投资抵扣税收政策的合伙创投企业，应同时符合以下条件: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lastRenderedPageBreak/>
        <w:t>（</w:t>
      </w:r>
      <w:r>
        <w:rPr>
          <w:rFonts w:ascii="Times New Roman" w:eastAsia="宋体" w:hAnsi="Times New Roman" w:hint="eastAsia"/>
          <w:sz w:val="24"/>
          <w:szCs w:val="24"/>
        </w:rPr>
        <w:t>1</w:t>
      </w:r>
      <w:r>
        <w:rPr>
          <w:rFonts w:ascii="宋体" w:eastAsia="宋体" w:hAnsi="宋体"/>
          <w:sz w:val="24"/>
          <w:szCs w:val="24"/>
        </w:rPr>
        <w:t>）在中国境内(不含港、澳、台地区)注册成立、实行查账征收的合伙创投企业，且不属于被投资初创科技型企业的发起人。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）符合《创业投资企业管理暂行办法》(发展改革委等</w:t>
      </w:r>
      <w:r>
        <w:rPr>
          <w:rFonts w:ascii="Times New Roman" w:eastAsia="宋体" w:hAnsi="Times New Roman" w:hint="eastAsia"/>
          <w:sz w:val="24"/>
          <w:szCs w:val="24"/>
        </w:rPr>
        <w:t>10</w:t>
      </w:r>
      <w:r>
        <w:rPr>
          <w:rFonts w:ascii="宋体" w:eastAsia="宋体" w:hAnsi="宋体"/>
          <w:sz w:val="24"/>
          <w:szCs w:val="24"/>
        </w:rPr>
        <w:t>部门令第</w:t>
      </w:r>
      <w:r>
        <w:rPr>
          <w:rFonts w:ascii="Times New Roman" w:eastAsia="宋体" w:hAnsi="Times New Roman" w:hint="eastAsia"/>
          <w:sz w:val="24"/>
          <w:szCs w:val="24"/>
        </w:rPr>
        <w:t>39</w:t>
      </w:r>
      <w:r>
        <w:rPr>
          <w:rFonts w:ascii="宋体" w:eastAsia="宋体" w:hAnsi="宋体"/>
          <w:sz w:val="24"/>
          <w:szCs w:val="24"/>
        </w:rPr>
        <w:t>号)规定或者《私募投资基金监督管理暂行办法》(证监会令第</w:t>
      </w:r>
      <w:r>
        <w:rPr>
          <w:rFonts w:ascii="Times New Roman" w:eastAsia="宋体" w:hAnsi="Times New Roman" w:hint="eastAsia"/>
          <w:sz w:val="24"/>
          <w:szCs w:val="24"/>
        </w:rPr>
        <w:t>105</w:t>
      </w:r>
      <w:r>
        <w:rPr>
          <w:rFonts w:ascii="宋体" w:eastAsia="宋体" w:hAnsi="宋体"/>
          <w:sz w:val="24"/>
          <w:szCs w:val="24"/>
        </w:rPr>
        <w:t>号)关于创业投资基金的特别规定，按照上述规定完成备案且规范运作。</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）投资后</w:t>
      </w:r>
      <w:r>
        <w:rPr>
          <w:rFonts w:ascii="Times New Roman" w:eastAsia="宋体" w:hAnsi="Times New Roman" w:hint="eastAsia"/>
          <w:sz w:val="24"/>
          <w:szCs w:val="24"/>
        </w:rPr>
        <w:t>2</w:t>
      </w:r>
      <w:r>
        <w:rPr>
          <w:rFonts w:ascii="宋体" w:eastAsia="宋体" w:hAnsi="宋体"/>
          <w:sz w:val="24"/>
          <w:szCs w:val="24"/>
        </w:rPr>
        <w:t>年内，创业投资企业及其关联方持有被投资初创科技型企业的股权比例合计应低于</w:t>
      </w:r>
      <w:r>
        <w:rPr>
          <w:rFonts w:ascii="Times New Roman" w:eastAsia="宋体" w:hAnsi="Times New Roman" w:hint="eastAsia"/>
          <w:sz w:val="24"/>
          <w:szCs w:val="24"/>
        </w:rPr>
        <w:t>50</w:t>
      </w:r>
      <w:r>
        <w:rPr>
          <w:rFonts w:ascii="宋体" w:eastAsia="宋体" w:hAnsi="宋体"/>
          <w:sz w:val="24"/>
          <w:szCs w:val="24"/>
        </w:rPr>
        <w:t>%。</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天使投资个人、公司制创业投资企业、合伙创投企业、合伙创投企业法人合伙人、被投资初创科技型企业应按规定办理优惠手续。</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天使投资个人转让初创科技型企业股权需同时抵扣前</w:t>
      </w:r>
      <w:r>
        <w:rPr>
          <w:rFonts w:ascii="Times New Roman" w:eastAsia="宋体" w:hAnsi="Times New Roman" w:hint="eastAsia"/>
          <w:sz w:val="24"/>
          <w:szCs w:val="24"/>
        </w:rPr>
        <w:t>36</w:t>
      </w:r>
      <w:r>
        <w:rPr>
          <w:rFonts w:ascii="宋体" w:eastAsia="宋体" w:hAnsi="宋体"/>
          <w:sz w:val="24"/>
          <w:szCs w:val="24"/>
        </w:rPr>
        <w:t>个月内投资其他注销清算初创科技型企业尚未抵扣完毕的投资额的，申报时应一并提供注销清算企业主管税务机关受理登记并注明注销清算等情况的《天使投资个人所得税投资抵扣备案表》，及前期享受投资抵扣政策后税务机关受理的《天使投资个人所得税投资抵扣情况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天使投资个人投资初创科技型企业满足投资抵扣税收优惠条件后，初创科技型企业在上海证券交易所、深圳证券交易所上市的，天使投资个人在转让初创科技型企业股票时，有尚未抵扣完毕的投资额的，应向证券机构所在地主管税务机关办理限售股转让税款清算，抵扣尚未抵扣完毕的投资额。清算时，应提供投资初创科技型企业后税务机关受理的《天使投资个人所得税投资抵扣备案表》和《天使投资个人所得税投资抵扣情况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天使投资个人投资的初创科技型企业注销清算的，应及时持《天使投资个人所得税投资抵扣备案表》到主管税务机关办理情况登记。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享受投资抵扣税收政策的投资，仅限于通过向被投资初创科技型企业直接支付现金方式取得的股权投资，不包括受让其他股东的存量股权。</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个人合伙人在个人所得税年度申报时，应将当年允许抵扣的投资额填至《</w:t>
      </w:r>
      <w:r>
        <w:rPr>
          <w:rFonts w:ascii="宋体" w:eastAsia="宋体" w:hAnsi="宋体" w:hint="eastAsia"/>
          <w:sz w:val="24"/>
          <w:szCs w:val="24"/>
        </w:rPr>
        <w:t>个人所得税经营所得纳税申报表（B表）</w:t>
      </w:r>
      <w:r>
        <w:rPr>
          <w:rFonts w:ascii="宋体" w:eastAsia="宋体" w:hAnsi="宋体"/>
          <w:sz w:val="24"/>
          <w:szCs w:val="24"/>
        </w:rPr>
        <w:t>》“允许扣除的其他费用”栏，并同时标明“投资抵扣”字样。</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12</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w:t>
      </w:r>
      <w:r>
        <w:rPr>
          <w:rFonts w:ascii="宋体" w:eastAsia="宋体" w:hAnsi="宋体"/>
          <w:sz w:val="24"/>
          <w:szCs w:val="24"/>
        </w:rPr>
        <w:lastRenderedPageBreak/>
        <w:t>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31.</w:t>
      </w:r>
      <w:r w:rsidR="00722CAA">
        <w:rPr>
          <w:rFonts w:hint="eastAsia"/>
        </w:rPr>
        <w:t xml:space="preserve">　合伙制创业投资企业单一投资基金核算方式报告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合伙制创业投资企业单一投资基金核算方式报告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符合《创业投资企业管理暂行办法》（发展改革委等10部门令第39号）或者《私募投资基金监督管理暂行办法》（证监会令第105号）有关规定完成备案且规范运作的合伙制创业投资企业（基金），可以选择按单一投资基金核算或者按创投企业年度所得整体核算两种方式之一，对其个人合伙人来源于创投企业的所得计算个人所得税应纳税额。上述合伙制创投企业选择按单一投资基金核算的，就其核算方式向主管税务机关报告备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财政部　税务总局　发展改革委　证监会</w:t>
      </w:r>
      <w:r>
        <w:rPr>
          <w:rFonts w:ascii="宋体" w:eastAsia="宋体" w:hAnsi="宋体"/>
          <w:sz w:val="24"/>
          <w:szCs w:val="24"/>
        </w:rPr>
        <w:t>关于创业投资企业个人合伙人所得税政策问题的通知》（财税〔</w:t>
      </w:r>
      <w:r>
        <w:rPr>
          <w:rFonts w:ascii="Times New Roman" w:eastAsia="宋体" w:hAnsi="Times New Roman" w:hint="eastAsia"/>
          <w:sz w:val="24"/>
          <w:szCs w:val="24"/>
        </w:rPr>
        <w:t>2019</w:t>
      </w:r>
      <w:r>
        <w:rPr>
          <w:rFonts w:ascii="宋体" w:eastAsia="宋体" w:hAnsi="宋体"/>
          <w:sz w:val="24"/>
          <w:szCs w:val="24"/>
        </w:rPr>
        <w:t>〕</w:t>
      </w:r>
      <w:r>
        <w:rPr>
          <w:rFonts w:ascii="Times New Roman" w:eastAsia="宋体" w:hAnsi="Times New Roman" w:hint="eastAsia"/>
          <w:sz w:val="24"/>
          <w:szCs w:val="24"/>
        </w:rPr>
        <w:t>8</w:t>
      </w:r>
      <w:r>
        <w:rPr>
          <w:rFonts w:ascii="宋体" w:eastAsia="宋体" w:hAnsi="宋体"/>
          <w:sz w:val="24"/>
          <w:szCs w:val="24"/>
        </w:rPr>
        <w:t>号）第六条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39"/>
        <w:gridCol w:w="1134"/>
        <w:gridCol w:w="1456"/>
      </w:tblGrid>
      <w:tr w:rsidR="00B43696">
        <w:trPr>
          <w:trHeight w:hRule="exac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《合伙制创业投资企业单一投资基金核算方式备案表》</w:t>
            </w:r>
          </w:p>
        </w:tc>
        <w:tc>
          <w:tcPr>
            <w:tcW w:w="113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76"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7"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黑体" w:eastAsia="黑体" w:hAnsi="黑体"/>
          <w:bCs/>
          <w:noProof/>
        </w:rPr>
        <w:drawing>
          <wp:inline distT="0" distB="0" distL="114300" distR="114300">
            <wp:extent cx="5184140" cy="1752600"/>
            <wp:effectExtent l="0" t="0" r="12700" b="0"/>
            <wp:docPr id="33" name="图片 170"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33" name="图片 170" descr="C:\Users\baoqianyu\Desktop\流程图\即办\扣缴义务人.png扣缴义务人"/>
                    <pic:cNvPicPr/>
                  </pic:nvPicPr>
                  <pic:blipFill>
                    <a:blip r:embed="rId24" cstate="print"/>
                    <a:stretch>
                      <a:fillRect/>
                    </a:stretch>
                  </pic:blipFill>
                  <pic:spPr>
                    <a:xfrm>
                      <a:off x="0" y="0"/>
                      <a:ext cx="5184140" cy="17526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bCs/>
          <w:sz w:val="24"/>
          <w:szCs w:val="24"/>
        </w:rPr>
        <w:t>【</w:t>
      </w:r>
      <w:r>
        <w:rPr>
          <w:rFonts w:ascii="黑体" w:eastAsia="黑体" w:hAnsi="黑体" w:hint="eastAsia"/>
          <w:bCs/>
          <w:sz w:val="24"/>
          <w:szCs w:val="24"/>
        </w:rPr>
        <w:t>扣缴义务人</w:t>
      </w:r>
      <w:r>
        <w:rPr>
          <w:rFonts w:ascii="黑体" w:eastAsia="黑体" w:hAnsi="黑体"/>
          <w:bCs/>
          <w:sz w:val="24"/>
          <w:szCs w:val="24"/>
        </w:rPr>
        <w:t>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创投企业选择按单一投资基金核算的，应当在按照《创业投资企业管理暂行办法》（发展改革委等</w:t>
      </w:r>
      <w:r>
        <w:rPr>
          <w:rFonts w:ascii="Times New Roman" w:eastAsia="宋体" w:hAnsi="Times New Roman" w:hint="eastAsia"/>
          <w:sz w:val="24"/>
          <w:szCs w:val="24"/>
        </w:rPr>
        <w:t>10</w:t>
      </w:r>
      <w:r>
        <w:rPr>
          <w:rFonts w:ascii="宋体" w:eastAsia="宋体" w:hAnsi="宋体"/>
          <w:sz w:val="24"/>
          <w:szCs w:val="24"/>
        </w:rPr>
        <w:t>部门令第</w:t>
      </w:r>
      <w:r>
        <w:rPr>
          <w:rFonts w:ascii="Times New Roman" w:eastAsia="宋体" w:hAnsi="Times New Roman" w:hint="eastAsia"/>
          <w:sz w:val="24"/>
          <w:szCs w:val="24"/>
        </w:rPr>
        <w:t>39</w:t>
      </w:r>
      <w:r>
        <w:rPr>
          <w:rFonts w:ascii="宋体" w:eastAsia="宋体" w:hAnsi="宋体"/>
          <w:sz w:val="24"/>
          <w:szCs w:val="24"/>
        </w:rPr>
        <w:t>号）或者《私募投资基金监督管理暂行办法》（证监会令第</w:t>
      </w:r>
      <w:r>
        <w:rPr>
          <w:rFonts w:ascii="Times New Roman" w:eastAsia="宋体" w:hAnsi="Times New Roman" w:hint="eastAsia"/>
          <w:sz w:val="24"/>
          <w:szCs w:val="24"/>
        </w:rPr>
        <w:t>105</w:t>
      </w:r>
      <w:r>
        <w:rPr>
          <w:rFonts w:ascii="宋体" w:eastAsia="宋体" w:hAnsi="宋体"/>
          <w:sz w:val="24"/>
          <w:szCs w:val="24"/>
        </w:rPr>
        <w:t>号）规定完成备案的</w:t>
      </w:r>
      <w:r>
        <w:rPr>
          <w:rFonts w:ascii="Times New Roman" w:eastAsia="宋体" w:hAnsi="Times New Roman" w:hint="eastAsia"/>
          <w:sz w:val="24"/>
          <w:szCs w:val="24"/>
        </w:rPr>
        <w:t>30</w:t>
      </w:r>
      <w:r>
        <w:rPr>
          <w:rFonts w:ascii="宋体" w:eastAsia="宋体" w:hAnsi="宋体"/>
          <w:sz w:val="24"/>
          <w:szCs w:val="24"/>
        </w:rPr>
        <w:t>日内，向主管税务机关进行核算方式备案；未按规定备案的，视同选择按创投企业年度所得整体核算。</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单一投资基金核算，是指单一投资基金（包括不以基金名义设立的创投企业）在一个纳税年度内从不同创业投资项目取得的股权转让所得和股息红利所得按下述方法分别核算纳税：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lastRenderedPageBreak/>
        <w:t>个人合伙人按照其应从基金年度股权转让所得中分得的份额计算其应纳税额，并由创投企业在次年</w:t>
      </w:r>
      <w:r>
        <w:rPr>
          <w:rFonts w:ascii="Times New Roman" w:eastAsia="宋体" w:hAnsi="Times New Roman" w:hint="eastAsia"/>
          <w:sz w:val="24"/>
          <w:szCs w:val="24"/>
        </w:rPr>
        <w:t>3</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日前代扣代缴个人所得税。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）股息红利所得。单一投资基金的股息红利所得，以其来源于所投资项目分配的股息、红利收入以及其他固定收益类证券等收入的全额计算。</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个人合伙人按照其应从基金股息红利所得中分得的份额计算其应纳税额，并由创投企业按次代扣代缴个人所得税。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）除前述可以扣除的成本、费用之外，单一投资基金发生的包括投资基金管理人的管理费和业绩报酬在内的其他支出，不得在核算时扣除。</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单一投资基金核算方法仅适用于计算创投企业个人合伙人的应纳税额。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创投企业选择按单一投资基金核算的，其个人合伙人从该基金应分得的股权转让所得和股息红利所得，按照</w:t>
      </w:r>
      <w:r>
        <w:rPr>
          <w:rFonts w:ascii="Times New Roman" w:eastAsia="宋体" w:hAnsi="Times New Roman" w:hint="eastAsia"/>
          <w:sz w:val="24"/>
          <w:szCs w:val="24"/>
        </w:rPr>
        <w:t>20</w:t>
      </w:r>
      <w:r>
        <w:rPr>
          <w:rFonts w:ascii="宋体" w:eastAsia="宋体" w:hAnsi="宋体"/>
          <w:sz w:val="24"/>
          <w:szCs w:val="24"/>
        </w:rPr>
        <w:t>%税率计算缴纳个人所得税。创投企业选择按年度所得整体核算的，其个人合伙人应从创投企业取得的所得，按照“经营所得”项目</w:t>
      </w:r>
      <w:r>
        <w:rPr>
          <w:rFonts w:ascii="Times New Roman" w:eastAsia="宋体" w:hAnsi="Times New Roman" w:hint="eastAsia"/>
          <w:sz w:val="24"/>
          <w:szCs w:val="24"/>
        </w:rPr>
        <w:t>5</w:t>
      </w:r>
      <w:r>
        <w:rPr>
          <w:rFonts w:ascii="宋体" w:eastAsia="宋体" w:hAnsi="宋体"/>
          <w:sz w:val="24"/>
          <w:szCs w:val="24"/>
        </w:rPr>
        <w:t>%</w:t>
      </w:r>
      <w:r>
        <w:rPr>
          <w:rFonts w:ascii="Times New Roman" w:eastAsia="宋体" w:hAnsi="Times New Roman"/>
          <w:sz w:val="24"/>
          <w:szCs w:val="24"/>
        </w:rPr>
        <w:t>—</w:t>
      </w:r>
      <w:r>
        <w:rPr>
          <w:rFonts w:ascii="Times New Roman" w:eastAsia="宋体" w:hAnsi="Times New Roman" w:hint="eastAsia"/>
          <w:sz w:val="24"/>
          <w:szCs w:val="24"/>
        </w:rPr>
        <w:t>35</w:t>
      </w:r>
      <w:r>
        <w:rPr>
          <w:rFonts w:ascii="宋体" w:eastAsia="宋体" w:hAnsi="宋体"/>
          <w:sz w:val="24"/>
          <w:szCs w:val="24"/>
        </w:rPr>
        <w:t>%的超额累进税率计算缴纳个人所得税。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创投企业选择按单一投资基金核算或按创投企业年度所得整体核算后，</w:t>
      </w:r>
      <w:r>
        <w:rPr>
          <w:rFonts w:ascii="Times New Roman" w:eastAsia="宋体" w:hAnsi="Times New Roman" w:hint="eastAsia"/>
          <w:sz w:val="24"/>
          <w:szCs w:val="24"/>
        </w:rPr>
        <w:t>3</w:t>
      </w:r>
      <w:r>
        <w:rPr>
          <w:rFonts w:ascii="宋体" w:eastAsia="宋体" w:hAnsi="宋体"/>
          <w:sz w:val="24"/>
          <w:szCs w:val="24"/>
        </w:rPr>
        <w:t>年内不能变更。创投企业选择一种核算方式满</w:t>
      </w:r>
      <w:r>
        <w:rPr>
          <w:rFonts w:ascii="Times New Roman" w:eastAsia="宋体" w:hAnsi="Times New Roman" w:hint="eastAsia"/>
          <w:sz w:val="24"/>
          <w:szCs w:val="24"/>
        </w:rPr>
        <w:t>3</w:t>
      </w:r>
      <w:r>
        <w:rPr>
          <w:rFonts w:ascii="宋体" w:eastAsia="宋体" w:hAnsi="宋体"/>
          <w:sz w:val="24"/>
          <w:szCs w:val="24"/>
        </w:rPr>
        <w:t>年需要调整的，应当在满</w:t>
      </w:r>
      <w:r>
        <w:rPr>
          <w:rFonts w:ascii="Times New Roman" w:eastAsia="宋体" w:hAnsi="Times New Roman" w:hint="eastAsia"/>
          <w:sz w:val="24"/>
          <w:szCs w:val="24"/>
        </w:rPr>
        <w:t>3</w:t>
      </w:r>
      <w:r>
        <w:rPr>
          <w:rFonts w:ascii="宋体" w:eastAsia="宋体" w:hAnsi="宋体"/>
          <w:sz w:val="24"/>
          <w:szCs w:val="24"/>
        </w:rPr>
        <w:t>年的次年</w:t>
      </w:r>
      <w:r>
        <w:rPr>
          <w:rFonts w:ascii="Times New Roman" w:eastAsia="宋体" w:hAnsi="Times New Roman" w:hint="eastAsia"/>
          <w:sz w:val="24"/>
          <w:szCs w:val="24"/>
        </w:rPr>
        <w:t>1</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日前，重新向主管税务机关备案。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选择按单一投资基金核算的合伙制创业投资企业按规定办理年度股权转让所得扣缴申报时，应在取得所得的次年</w:t>
      </w:r>
      <w:r>
        <w:rPr>
          <w:rFonts w:ascii="Times New Roman" w:eastAsia="宋体" w:hAnsi="Times New Roman" w:hint="eastAsia"/>
          <w:sz w:val="24"/>
          <w:szCs w:val="24"/>
        </w:rPr>
        <w:t>3</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日前向主管税务机关报送《单一投资基金核算的合伙制创业投资企业个人所得税扣缴申报表》。</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9</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029F1">
      <w:pPr>
        <w:pStyle w:val="3sunshine"/>
        <w:keepNext w:val="0"/>
        <w:wordWrap w:val="0"/>
        <w:topLinePunct w:val="0"/>
        <w:adjustRightInd/>
        <w:snapToGrid/>
        <w:spacing w:before="332" w:after="332"/>
      </w:pPr>
      <w:r>
        <w:lastRenderedPageBreak/>
        <w:t>32.</w:t>
      </w:r>
      <w:r w:rsidR="00722CAA">
        <w:rPr>
          <w:rFonts w:hint="eastAsia"/>
        </w:rPr>
        <w:t xml:space="preserve">　</w:t>
      </w:r>
      <w:r w:rsidR="00722CAA">
        <w:rPr>
          <w:rFonts w:ascii="黑体" w:hAnsi="黑体" w:hint="eastAsia"/>
        </w:rPr>
        <w:t>企业所得税汇总纳税信息报告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企业所得税汇总纳税信息报告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居民企业总机构及分支机构（包括不就地分摊缴纳企业所得税的二级分支机构）应填报《企业所得税汇总纳税总分机构信息备案表》，将总机构、所有上级分支机构及下属分支机构信息报送至各自所在地主管税务机关备案。</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非居民企业汇总纳税的各机构、场所应在首次办理汇总缴纳企业所得税申报时，向所在地主管税务机关报送全部机构、场所等信息。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《跨地区经营汇总纳税企业所得税征收管理办法》（国家税务总局公告</w:t>
      </w:r>
      <w:r>
        <w:rPr>
          <w:rFonts w:ascii="Times New Roman" w:eastAsia="宋体" w:hAnsi="Times New Roman" w:hint="eastAsia"/>
          <w:sz w:val="24"/>
          <w:szCs w:val="24"/>
        </w:rPr>
        <w:t>2012</w:t>
      </w:r>
      <w:r>
        <w:rPr>
          <w:rFonts w:ascii="宋体" w:eastAsia="宋体" w:hAnsi="宋体"/>
          <w:sz w:val="24"/>
          <w:szCs w:val="24"/>
        </w:rPr>
        <w:t>年第</w:t>
      </w:r>
      <w:r>
        <w:rPr>
          <w:rFonts w:ascii="Times New Roman" w:eastAsia="宋体" w:hAnsi="Times New Roman" w:hint="eastAsia"/>
          <w:sz w:val="24"/>
          <w:szCs w:val="24"/>
        </w:rPr>
        <w:t>57</w:t>
      </w:r>
      <w:r>
        <w:rPr>
          <w:rFonts w:ascii="宋体" w:eastAsia="宋体" w:hAnsi="宋体"/>
          <w:sz w:val="24"/>
          <w:szCs w:val="24"/>
        </w:rPr>
        <w:t>号公布，国家税务总局公告</w:t>
      </w:r>
      <w:r>
        <w:rPr>
          <w:rFonts w:ascii="Times New Roman" w:eastAsia="宋体" w:hAnsi="Times New Roman" w:hint="eastAsia"/>
          <w:sz w:val="24"/>
          <w:szCs w:val="24"/>
        </w:rPr>
        <w:t>2015</w:t>
      </w:r>
      <w:r>
        <w:rPr>
          <w:rFonts w:ascii="宋体" w:eastAsia="宋体" w:hAnsi="宋体"/>
          <w:sz w:val="24"/>
          <w:szCs w:val="24"/>
        </w:rPr>
        <w:t>年第</w:t>
      </w:r>
      <w:r>
        <w:rPr>
          <w:rFonts w:ascii="Times New Roman" w:eastAsia="宋体" w:hAnsi="Times New Roman" w:hint="eastAsia"/>
          <w:sz w:val="24"/>
          <w:szCs w:val="24"/>
        </w:rPr>
        <w:t>6</w:t>
      </w:r>
      <w:r>
        <w:rPr>
          <w:rFonts w:ascii="宋体" w:eastAsia="宋体" w:hAnsi="宋体"/>
          <w:sz w:val="24"/>
          <w:szCs w:val="24"/>
        </w:rPr>
        <w:t>号修改）第二十二条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《国家税务总局关于</w:t>
      </w:r>
      <w:r>
        <w:rPr>
          <w:rFonts w:ascii="Times New Roman" w:eastAsia="宋体" w:hAnsi="Times New Roman" w:hint="eastAsia"/>
          <w:sz w:val="24"/>
          <w:szCs w:val="24"/>
        </w:rPr>
        <w:t>3</w:t>
      </w:r>
      <w:r>
        <w:rPr>
          <w:rFonts w:ascii="宋体" w:eastAsia="宋体" w:hAnsi="宋体"/>
          <w:sz w:val="24"/>
          <w:szCs w:val="24"/>
        </w:rPr>
        <w:t>项企业所得税事项取消审批后加强后续管理的公告》（国家税务总局公告</w:t>
      </w:r>
      <w:r>
        <w:rPr>
          <w:rFonts w:ascii="Times New Roman" w:eastAsia="宋体" w:hAnsi="Times New Roman" w:hint="eastAsia"/>
          <w:sz w:val="24"/>
          <w:szCs w:val="24"/>
        </w:rPr>
        <w:t>2015</w:t>
      </w:r>
      <w:r>
        <w:rPr>
          <w:rFonts w:ascii="宋体" w:eastAsia="宋体" w:hAnsi="宋体"/>
          <w:sz w:val="24"/>
          <w:szCs w:val="24"/>
        </w:rPr>
        <w:t>年第</w:t>
      </w:r>
      <w:r>
        <w:rPr>
          <w:rFonts w:ascii="Times New Roman" w:eastAsia="宋体" w:hAnsi="Times New Roman" w:hint="eastAsia"/>
          <w:sz w:val="24"/>
          <w:szCs w:val="24"/>
        </w:rPr>
        <w:t>6</w:t>
      </w:r>
      <w:r>
        <w:rPr>
          <w:rFonts w:ascii="宋体" w:eastAsia="宋体" w:hAnsi="宋体"/>
          <w:sz w:val="24"/>
          <w:szCs w:val="24"/>
        </w:rPr>
        <w:t>号）第二条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w:t>
      </w:r>
      <w:r>
        <w:rPr>
          <w:rFonts w:ascii="宋体" w:eastAsia="宋体" w:hAnsi="宋体" w:hint="eastAsia"/>
          <w:sz w:val="24"/>
          <w:szCs w:val="24"/>
        </w:rPr>
        <w:t>国家税务总局　财政部　中国人民银行</w:t>
      </w:r>
      <w:r>
        <w:rPr>
          <w:rFonts w:ascii="宋体" w:eastAsia="宋体" w:hAnsi="宋体"/>
          <w:sz w:val="24"/>
          <w:szCs w:val="24"/>
        </w:rPr>
        <w:t>关于非居民企业机构场所汇总缴纳企业所得税有关问题的公告》（国家税务总局公告</w:t>
      </w:r>
      <w:r>
        <w:rPr>
          <w:rFonts w:ascii="Times New Roman" w:eastAsia="宋体" w:hAnsi="Times New Roman" w:hint="eastAsia"/>
          <w:sz w:val="24"/>
          <w:szCs w:val="24"/>
        </w:rPr>
        <w:t>2019</w:t>
      </w:r>
      <w:r>
        <w:rPr>
          <w:rFonts w:ascii="宋体" w:eastAsia="宋体" w:hAnsi="宋体"/>
          <w:sz w:val="24"/>
          <w:szCs w:val="24"/>
        </w:rPr>
        <w:t>年第</w:t>
      </w:r>
      <w:r>
        <w:rPr>
          <w:rFonts w:ascii="Times New Roman" w:eastAsia="宋体" w:hAnsi="Times New Roman" w:hint="eastAsia"/>
          <w:sz w:val="24"/>
          <w:szCs w:val="24"/>
        </w:rPr>
        <w:t>12</w:t>
      </w:r>
      <w:r>
        <w:rPr>
          <w:rFonts w:ascii="宋体" w:eastAsia="宋体" w:hAnsi="宋体"/>
          <w:sz w:val="24"/>
          <w:szCs w:val="24"/>
        </w:rPr>
        <w:t>号）第六条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企业所得税汇总纳税的居民企业总机构及分支机构：</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50"/>
        <w:gridCol w:w="2820"/>
        <w:gridCol w:w="816"/>
        <w:gridCol w:w="159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0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07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《企业所得税汇总纳税总分机构信息备案表》</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93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0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未实行“一照一码”“两证整合”登记模式的纳税人</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税务登记证件原件</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sz w:val="18"/>
                <w:szCs w:val="18"/>
              </w:rPr>
              <w:t>查验后退回</w:t>
            </w:r>
          </w:p>
        </w:tc>
      </w:tr>
      <w:tr w:rsidR="00B43696">
        <w:trPr>
          <w:trHeight w:hRule="exact" w:val="70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中央企业所属二级分支机构名单</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发生变化</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调整后情况及分支机构变化情况</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709"/>
          <w:jc w:val="center"/>
        </w:trPr>
        <w:tc>
          <w:tcPr>
            <w:tcW w:w="2930" w:type="dxa"/>
            <w:gridSpan w:val="2"/>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中央企业新增二级及以下分支机构</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加载统一社会信用代码的</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营业执照原件</w:t>
            </w:r>
          </w:p>
        </w:tc>
        <w:tc>
          <w:tcPr>
            <w:tcW w:w="816"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sz w:val="18"/>
                <w:szCs w:val="18"/>
              </w:rPr>
              <w:t>查验后退回</w:t>
            </w:r>
          </w:p>
        </w:tc>
      </w:tr>
      <w:tr w:rsidR="00B43696">
        <w:trPr>
          <w:trHeight w:hRule="exact" w:val="709"/>
          <w:jc w:val="center"/>
        </w:trPr>
        <w:tc>
          <w:tcPr>
            <w:tcW w:w="2930" w:type="dxa"/>
            <w:gridSpan w:val="2"/>
            <w:vMerge/>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总机构出具的其为二级或</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二级以下分支机构证明文件</w:t>
            </w:r>
          </w:p>
        </w:tc>
        <w:tc>
          <w:tcPr>
            <w:tcW w:w="816" w:type="dxa"/>
            <w:tcBorders>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70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中央企业撤销（注销）二级及以下分支机构</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撤销（注销）二级及以下分支</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机构情况</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709"/>
          <w:jc w:val="center"/>
        </w:trPr>
        <w:tc>
          <w:tcPr>
            <w:tcW w:w="2930" w:type="dxa"/>
            <w:gridSpan w:val="2"/>
            <w:vMerge w:val="restart"/>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新增的三级及以下分支机构</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加载统一社会信用代码的营业执照原件</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color w:val="auto"/>
              </w:rPr>
              <w:t>1</w:t>
            </w:r>
            <w:r>
              <w:rPr>
                <w:rFonts w:ascii="黑体" w:eastAsia="黑体" w:hAnsi="黑体" w:hint="eastAsia"/>
                <w:color w:val="auto"/>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查验后退回</w:t>
            </w:r>
          </w:p>
        </w:tc>
      </w:tr>
      <w:tr w:rsidR="00B43696">
        <w:trPr>
          <w:trHeight w:val="709"/>
          <w:jc w:val="center"/>
        </w:trPr>
        <w:tc>
          <w:tcPr>
            <w:tcW w:w="2930" w:type="dxa"/>
            <w:gridSpan w:val="2"/>
            <w:vMerge/>
            <w:tcBorders>
              <w:top w:val="single" w:sz="4" w:space="0" w:color="auto"/>
              <w:left w:val="single" w:sz="4" w:space="0" w:color="auto"/>
              <w:right w:val="single" w:sz="4" w:space="0" w:color="auto"/>
            </w:tcBorders>
            <w:vAlign w:val="center"/>
          </w:tcPr>
          <w:p w:rsidR="00B43696" w:rsidRDefault="00B43696">
            <w:pPr>
              <w:pStyle w:val="20"/>
              <w:topLinePunct w:val="0"/>
              <w:spacing w:before="49" w:after="49"/>
              <w:jc w:val="both"/>
              <w:rPr>
                <w:rFonts w:ascii="黑体" w:eastAsia="黑体" w:hAnsi="黑体"/>
                <w:color w:val="auto"/>
              </w:rPr>
            </w:pPr>
          </w:p>
        </w:tc>
        <w:tc>
          <w:tcPr>
            <w:tcW w:w="2820" w:type="dxa"/>
            <w:tcBorders>
              <w:top w:val="single" w:sz="4" w:space="0" w:color="auto"/>
              <w:left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和机构出具的其为三级或三级以下分支机构证明文件</w:t>
            </w:r>
          </w:p>
        </w:tc>
        <w:tc>
          <w:tcPr>
            <w:tcW w:w="816" w:type="dxa"/>
            <w:tcBorders>
              <w:top w:val="single" w:sz="4" w:space="0" w:color="auto"/>
              <w:left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color w:val="auto"/>
              </w:rPr>
              <w:t>1</w:t>
            </w:r>
            <w:r>
              <w:rPr>
                <w:rFonts w:ascii="黑体" w:eastAsia="黑体" w:hAnsi="黑体" w:hint="eastAsia"/>
                <w:color w:val="auto"/>
              </w:rPr>
              <w:t>份</w:t>
            </w:r>
          </w:p>
        </w:tc>
        <w:tc>
          <w:tcPr>
            <w:tcW w:w="1598" w:type="dxa"/>
            <w:tcBorders>
              <w:top w:val="single" w:sz="4" w:space="0" w:color="auto"/>
              <w:left w:val="single" w:sz="4" w:space="0" w:color="auto"/>
              <w:right w:val="single" w:sz="4" w:space="0" w:color="auto"/>
            </w:tcBorders>
            <w:vAlign w:val="center"/>
          </w:tcPr>
          <w:p w:rsidR="00B43696" w:rsidRDefault="00B43696">
            <w:pPr>
              <w:pStyle w:val="20"/>
              <w:topLinePunct w:val="0"/>
              <w:spacing w:before="49" w:after="49"/>
              <w:rPr>
                <w:rFonts w:ascii="黑体" w:eastAsia="黑体" w:hAnsi="黑体"/>
                <w:color w:val="auto"/>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企业所得税汇总纳税的非居民企业各机构、场所：</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070"/>
        <w:gridCol w:w="828"/>
        <w:gridCol w:w="1585"/>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0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0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《非居民企业所得税汇总纳税信息清册》</w:t>
            </w:r>
          </w:p>
        </w:tc>
        <w:tc>
          <w:tcPr>
            <w:tcW w:w="82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58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0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符合汇总缴纳企业所得税条件的财务会计核算制度安排</w:t>
            </w:r>
          </w:p>
        </w:tc>
        <w:tc>
          <w:tcPr>
            <w:tcW w:w="82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8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78"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9"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lastRenderedPageBreak/>
        <w:drawing>
          <wp:inline distT="0" distB="0" distL="114300" distR="114300">
            <wp:extent cx="5184140" cy="1765935"/>
            <wp:effectExtent l="0" t="0" r="12700" b="0"/>
            <wp:docPr id="34" name="图片 17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4" name="图片 173"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居民企业总机构及分支机构报送的信息包括：总机构、所有上级分支机构及下属分支机构的名称、层级、地址、邮编、纳税人识别号及企业所得税主管税务机关名称、地址和邮编。</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汇总纳税的非居民企业各机构、场所报送的信息包括：主要机构、场所名称及纳税人识别号；全部被汇总机构、场所名称及纳税人识别号；符合汇总缴纳企业所得税条件的财务会计核算制度安排。</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报告信息发生变化的，居民企业总机构及分支机构应在内容变化后</w:t>
      </w:r>
      <w:r>
        <w:rPr>
          <w:rFonts w:ascii="Times New Roman" w:eastAsia="宋体" w:hAnsi="Times New Roman" w:hint="eastAsia"/>
          <w:sz w:val="24"/>
          <w:szCs w:val="24"/>
        </w:rPr>
        <w:t>30</w:t>
      </w:r>
      <w:r>
        <w:rPr>
          <w:rFonts w:ascii="宋体" w:eastAsia="宋体" w:hAnsi="宋体"/>
          <w:sz w:val="24"/>
          <w:szCs w:val="24"/>
        </w:rPr>
        <w:t>日内，向各自所在地主管税务机关报告变化情况；非居民企业汇总纳税的各机构、场所应在发生变更后首次办理汇总缴纳企业所得税申报时，向所在地主管税务机关报告变化情况。</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rsidR="00B43696" w:rsidRPr="00C756C0"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8</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B43696" w:rsidRDefault="007029F1">
      <w:pPr>
        <w:pStyle w:val="3sunshine"/>
        <w:keepNext w:val="0"/>
        <w:wordWrap w:val="0"/>
        <w:topLinePunct w:val="0"/>
        <w:adjustRightInd/>
        <w:snapToGrid/>
        <w:spacing w:before="332" w:after="332"/>
      </w:pPr>
      <w:r>
        <w:lastRenderedPageBreak/>
        <w:t>33.</w:t>
      </w:r>
      <w:r w:rsidR="00722CAA">
        <w:rPr>
          <w:rFonts w:hint="eastAsia"/>
        </w:rPr>
        <w:t xml:space="preserve">　核定征收企业所得税重大变化报告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核定征收企业所得税重大变化报告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核定征收企业所得税的居民企业生产经营范围、主营业务发生重大变化，或者应纳税所得额或应纳税额增减变化达到20％的，应及时向税务机关报告，申报调整已确定的应纳税额或应税所得率。</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《企业所得税核定征收办法（试行）》（国税发〔</w:t>
      </w:r>
      <w:r>
        <w:rPr>
          <w:rFonts w:ascii="宋体" w:eastAsia="宋体" w:hAnsi="宋体"/>
          <w:bCs w:val="0"/>
        </w:rPr>
        <w:t>2008〕30号</w:t>
      </w:r>
      <w:r>
        <w:rPr>
          <w:rFonts w:ascii="宋体" w:eastAsia="宋体" w:hAnsi="宋体" w:hint="eastAsia"/>
          <w:bCs w:val="0"/>
        </w:rPr>
        <w:t>公布</w:t>
      </w:r>
      <w:r>
        <w:rPr>
          <w:rFonts w:ascii="宋体" w:eastAsia="宋体" w:hAnsi="宋体"/>
          <w:bCs w:val="0"/>
        </w:rPr>
        <w:t>，国家税务总局公告</w:t>
      </w:r>
      <w:r>
        <w:rPr>
          <w:rFonts w:ascii="宋体" w:eastAsia="宋体" w:hAnsi="宋体" w:hint="eastAsia"/>
          <w:bCs w:val="0"/>
        </w:rPr>
        <w:t>2018</w:t>
      </w:r>
      <w:r>
        <w:rPr>
          <w:rFonts w:ascii="宋体" w:eastAsia="宋体" w:hAnsi="宋体"/>
          <w:bCs w:val="0"/>
        </w:rPr>
        <w:t>年第</w:t>
      </w:r>
      <w:r>
        <w:rPr>
          <w:rFonts w:ascii="宋体" w:eastAsia="宋体" w:hAnsi="宋体" w:hint="eastAsia"/>
          <w:bCs w:val="0"/>
        </w:rPr>
        <w:t>31</w:t>
      </w:r>
      <w:r>
        <w:rPr>
          <w:rFonts w:ascii="宋体" w:eastAsia="宋体" w:hAnsi="宋体"/>
          <w:bCs w:val="0"/>
        </w:rPr>
        <w:t>号修改）</w:t>
      </w:r>
      <w:r>
        <w:rPr>
          <w:rFonts w:ascii="宋体" w:eastAsia="宋体" w:hAnsi="宋体" w:hint="eastAsia"/>
          <w:bCs w:val="0"/>
        </w:rPr>
        <w:t>第九条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742"/>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hint="eastAsia"/>
                <w:sz w:val="18"/>
                <w:szCs w:val="18"/>
              </w:rPr>
              <w:t>核定征收企业生产经营范围、主营业务发生</w:t>
            </w:r>
          </w:p>
          <w:p w:rsidR="00B43696" w:rsidRDefault="00722CAA">
            <w:pPr>
              <w:wordWrap w:val="0"/>
              <w:ind w:firstLineChars="200" w:firstLine="360"/>
              <w:jc w:val="center"/>
              <w:rPr>
                <w:rFonts w:ascii="黑体" w:eastAsia="黑体" w:hAnsi="黑体"/>
                <w:sz w:val="18"/>
                <w:szCs w:val="18"/>
              </w:rPr>
            </w:pPr>
            <w:r>
              <w:rPr>
                <w:rFonts w:ascii="黑体" w:eastAsia="黑体" w:hAnsi="黑体" w:hint="eastAsia"/>
                <w:sz w:val="18"/>
                <w:szCs w:val="18"/>
              </w:rPr>
              <w:t>重大变化等情况说明</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80"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1" w:anchor="/bsdt?code=bsdt&amp;id=9916" w:history="1">
        <w:r>
          <w:rPr>
            <w:rStyle w:val="af2"/>
            <w:rFonts w:ascii="宋体" w:eastAsia="宋体" w:hAnsi="宋体"/>
            <w:sz w:val="24"/>
            <w:szCs w:val="24"/>
          </w:rPr>
          <w:t>https://etax.xinjiang.chinatax.gov.cn/yhs-web/cxzx/bmap.html#/bsdt?co</w:t>
        </w:r>
        <w:r>
          <w:rPr>
            <w:rStyle w:val="af2"/>
            <w:rFonts w:ascii="宋体" w:eastAsia="宋体" w:hAnsi="宋体"/>
            <w:sz w:val="24"/>
            <w:szCs w:val="24"/>
          </w:rPr>
          <w:lastRenderedPageBreak/>
          <w:t>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宋体" w:hAnsi="宋体"/>
          <w:b/>
          <w:noProof/>
        </w:rPr>
        <w:drawing>
          <wp:inline distT="0" distB="0" distL="114300" distR="114300">
            <wp:extent cx="5184140" cy="1765935"/>
            <wp:effectExtent l="0" t="0" r="12700" b="0"/>
            <wp:docPr id="35" name="图片 17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5" name="图片 174"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w:t>
      </w:r>
      <w:r>
        <w:rPr>
          <w:rFonts w:ascii="宋体" w:eastAsia="宋体" w:hAnsi="宋体"/>
          <w:bCs w:val="0"/>
        </w:rPr>
        <w:t>纳税人对报送材料的真实性和合法性承担责任。</w:t>
      </w:r>
    </w:p>
    <w:p w:rsidR="00B43696" w:rsidRDefault="00722CAA">
      <w:pPr>
        <w:pStyle w:val="af5"/>
        <w:wordWrap w:val="0"/>
        <w:adjustRightInd/>
        <w:snapToGrid/>
        <w:rPr>
          <w:rFonts w:ascii="宋体" w:eastAsia="宋体" w:hAnsi="宋体"/>
          <w:bCs w:val="0"/>
        </w:rPr>
      </w:pPr>
      <w:r>
        <w:rPr>
          <w:rFonts w:ascii="Times New Roman" w:eastAsia="宋体" w:hAnsi="Times New Roman" w:hint="eastAsia"/>
        </w:rPr>
        <w:t>2.</w:t>
      </w:r>
      <w:r>
        <w:rPr>
          <w:rFonts w:ascii="宋体" w:eastAsia="宋体" w:hAnsi="宋体" w:hint="eastAsia"/>
          <w:bCs w:val="0"/>
        </w:rPr>
        <w:t>实行应税所得率方式核定征收企业所得税的纳税人，经营多业的，无论其经营项目是否单独核算，均由税务机关根据其主营项目确定适用的应税所得率。主营项目应为纳税人所有经营项目中，收入总额或者成本（费用）支出额或者耗用原材料、燃料、动力数量所占比重最大的项目。</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3</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rsidP="00C756C0">
      <w:pPr>
        <w:rPr>
          <w:rFonts w:hint="eastAsia"/>
        </w:rPr>
      </w:pPr>
    </w:p>
    <w:p w:rsidR="00B43696" w:rsidRDefault="00722CAA">
      <w:pPr>
        <w:ind w:firstLineChars="200" w:firstLine="420"/>
      </w:pPr>
      <w:r>
        <w:rPr>
          <w:rFonts w:hint="eastAsia"/>
        </w:rPr>
        <w:br w:type="page"/>
      </w:r>
    </w:p>
    <w:p w:rsidR="00B43696" w:rsidRDefault="007860CA">
      <w:pPr>
        <w:pStyle w:val="3sunshine"/>
        <w:keepNext w:val="0"/>
        <w:wordWrap w:val="0"/>
        <w:topLinePunct w:val="0"/>
        <w:adjustRightInd/>
        <w:snapToGrid/>
        <w:spacing w:before="332" w:after="332"/>
      </w:pPr>
      <w:r>
        <w:lastRenderedPageBreak/>
        <w:t>34.</w:t>
      </w:r>
      <w:r w:rsidR="00722CAA">
        <w:rPr>
          <w:rFonts w:hint="eastAsia"/>
        </w:rPr>
        <w:t xml:space="preserve">　</w:t>
      </w:r>
      <w:r w:rsidR="00722CAA">
        <w:rPr>
          <w:rFonts w:ascii="黑体" w:hAnsi="黑体" w:hint="eastAsia"/>
        </w:rPr>
        <w:t>综合税源信息报告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综合税源信息报告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bCs w:val="0"/>
        </w:rPr>
        <w:t>从事房地产开发的纳税人，应在取得土地使用权并获得房地产开发项目开工许可后，向主管税务机关报送《土地增值税项目报告表》，并在每次转让（预售）房地产时，依次填报表中规定栏目的内容。</w:t>
      </w:r>
    </w:p>
    <w:p w:rsidR="00B43696" w:rsidRDefault="00722CAA">
      <w:pPr>
        <w:pStyle w:val="af5"/>
        <w:wordWrap w:val="0"/>
        <w:adjustRightInd/>
        <w:snapToGrid/>
        <w:rPr>
          <w:rFonts w:ascii="宋体" w:eastAsia="宋体" w:hAnsi="宋体"/>
          <w:bCs w:val="0"/>
        </w:rPr>
      </w:pPr>
      <w:r>
        <w:rPr>
          <w:rFonts w:ascii="宋体" w:eastAsia="宋体" w:hAnsi="宋体"/>
          <w:bCs w:val="0"/>
        </w:rPr>
        <w:t>纳税人在首次申报城镇土地使用税和房产税时，应进行城镇土地使用税税源明细采集和房产税税源明细采集。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税源信息变更和税源信息注销同样适用该事项。</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1.《中华人民共和国税收征收管理法》第二十五条</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2.《国家税务总局关于修订城镇土地使用税和房产税申报表单的公告》（国家税务总局公告2019年第32号）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3.《国家税务总局关于修订土地增值税纳税申报表的通知》（税总函〔2016〕309号）第一</w:t>
      </w:r>
      <w:r>
        <w:rPr>
          <w:rFonts w:ascii="宋体" w:eastAsia="宋体" w:hAnsi="宋体"/>
          <w:bCs w:val="0"/>
        </w:rPr>
        <w:t>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城镇土地使用税纳税人：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90"/>
        <w:gridCol w:w="696"/>
        <w:gridCol w:w="1897"/>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8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9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89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《城镇土地使用税 房产税税源明细表》</w:t>
            </w:r>
          </w:p>
        </w:tc>
        <w:tc>
          <w:tcPr>
            <w:tcW w:w="69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89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32"/>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489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5" w:name="_Hlk16088264"/>
            <w:r>
              <w:rPr>
                <w:rFonts w:ascii="黑体" w:eastAsia="黑体" w:hAnsi="黑体"/>
                <w:sz w:val="18"/>
                <w:szCs w:val="18"/>
              </w:rPr>
              <w:t>不动产权属、土地面积、土地用途等资料</w:t>
            </w:r>
            <w:bookmarkEnd w:id="45"/>
            <w:r>
              <w:rPr>
                <w:rFonts w:ascii="黑体" w:eastAsia="黑体" w:hAnsi="黑体" w:hint="eastAsia"/>
                <w:sz w:val="18"/>
                <w:szCs w:val="18"/>
              </w:rPr>
              <w:t>复印件</w:t>
            </w:r>
          </w:p>
        </w:tc>
        <w:tc>
          <w:tcPr>
            <w:tcW w:w="69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89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房产税纳税人：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868"/>
        <w:gridCol w:w="708"/>
        <w:gridCol w:w="1898"/>
      </w:tblGrid>
      <w:tr w:rsidR="00B43696">
        <w:trPr>
          <w:trHeight w:hRule="exact" w:val="567"/>
          <w:jc w:val="center"/>
        </w:trPr>
        <w:tc>
          <w:tcPr>
            <w:tcW w:w="81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567"/>
          <w:jc w:val="center"/>
        </w:trPr>
        <w:tc>
          <w:tcPr>
            <w:tcW w:w="26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val="570"/>
          <w:jc w:val="center"/>
        </w:trPr>
        <w:tc>
          <w:tcPr>
            <w:tcW w:w="2690" w:type="dxa"/>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从价计征缴纳房产税的纳税人</w:t>
            </w:r>
          </w:p>
        </w:tc>
        <w:tc>
          <w:tcPr>
            <w:tcW w:w="286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《城镇土地使用税 房产税税源明细表》</w:t>
            </w:r>
          </w:p>
        </w:tc>
        <w:tc>
          <w:tcPr>
            <w:tcW w:w="70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898" w:type="dxa"/>
            <w:tcBorders>
              <w:top w:val="single" w:sz="4" w:space="0" w:color="auto"/>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570"/>
          <w:jc w:val="center"/>
        </w:trPr>
        <w:tc>
          <w:tcPr>
            <w:tcW w:w="2690" w:type="dxa"/>
            <w:vMerge/>
            <w:tcBorders>
              <w:left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c>
          <w:tcPr>
            <w:tcW w:w="286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不动产权属、房产原值等资料</w:t>
            </w:r>
            <w:r>
              <w:rPr>
                <w:rFonts w:ascii="黑体" w:eastAsia="黑体" w:hAnsi="黑体" w:hint="eastAsia"/>
                <w:sz w:val="18"/>
                <w:szCs w:val="18"/>
              </w:rPr>
              <w:t>复印件</w:t>
            </w:r>
          </w:p>
        </w:tc>
        <w:tc>
          <w:tcPr>
            <w:tcW w:w="70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898" w:type="dxa"/>
            <w:tcBorders>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666"/>
          <w:jc w:val="center"/>
        </w:trPr>
        <w:tc>
          <w:tcPr>
            <w:tcW w:w="2690" w:type="dxa"/>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从租计征缴纳房产税的纳税人</w:t>
            </w:r>
          </w:p>
        </w:tc>
        <w:tc>
          <w:tcPr>
            <w:tcW w:w="28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《城镇土地使用税 房产税税源明细表》</w:t>
            </w:r>
          </w:p>
        </w:tc>
        <w:tc>
          <w:tcPr>
            <w:tcW w:w="70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898" w:type="dxa"/>
            <w:tcBorders>
              <w:top w:val="single" w:sz="4" w:space="0" w:color="auto"/>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589"/>
          <w:jc w:val="center"/>
        </w:trPr>
        <w:tc>
          <w:tcPr>
            <w:tcW w:w="2690" w:type="dxa"/>
            <w:vMerge/>
            <w:tcBorders>
              <w:left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c>
          <w:tcPr>
            <w:tcW w:w="28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6" w:name="_Hlk16088293"/>
            <w:r>
              <w:rPr>
                <w:rFonts w:ascii="黑体" w:eastAsia="黑体" w:hAnsi="黑体"/>
                <w:sz w:val="18"/>
                <w:szCs w:val="18"/>
              </w:rPr>
              <w:t>不动产权属、租赁协议等资料</w:t>
            </w:r>
            <w:bookmarkEnd w:id="46"/>
            <w:r>
              <w:rPr>
                <w:rFonts w:ascii="黑体" w:eastAsia="黑体" w:hAnsi="黑体" w:hint="eastAsia"/>
                <w:sz w:val="18"/>
                <w:szCs w:val="18"/>
              </w:rPr>
              <w:t>复印件</w:t>
            </w:r>
          </w:p>
        </w:tc>
        <w:tc>
          <w:tcPr>
            <w:tcW w:w="70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898" w:type="dxa"/>
            <w:tcBorders>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从事房地产开发纳税人：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856"/>
        <w:gridCol w:w="720"/>
        <w:gridCol w:w="1898"/>
      </w:tblGrid>
      <w:tr w:rsidR="00B43696">
        <w:trPr>
          <w:trHeight w:hRule="exact" w:val="340"/>
          <w:jc w:val="center"/>
        </w:trPr>
        <w:tc>
          <w:tcPr>
            <w:tcW w:w="81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6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1134"/>
          <w:jc w:val="center"/>
        </w:trPr>
        <w:tc>
          <w:tcPr>
            <w:tcW w:w="2690" w:type="dxa"/>
            <w:tcBorders>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7" w:name="_Hlk15964666"/>
            <w:bookmarkStart w:id="48" w:name="_Hlk15957678"/>
            <w:r>
              <w:rPr>
                <w:rFonts w:ascii="黑体" w:eastAsia="黑体" w:hAnsi="黑体"/>
                <w:sz w:val="18"/>
                <w:szCs w:val="18"/>
              </w:rPr>
              <w:t>取得土地使用权，并获得房地产开发项目开工许可后，以及每次转让（预售）房地产</w:t>
            </w:r>
            <w:bookmarkEnd w:id="47"/>
          </w:p>
        </w:tc>
        <w:tc>
          <w:tcPr>
            <w:tcW w:w="285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《土地增值税项目报告表（从事房地产开发的纳税人适用）》</w:t>
            </w:r>
          </w:p>
        </w:tc>
        <w:tc>
          <w:tcPr>
            <w:tcW w:w="720" w:type="dxa"/>
            <w:tcBorders>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r>
              <w:rPr>
                <w:rFonts w:ascii="黑体" w:eastAsia="黑体" w:hAnsi="黑体"/>
                <w:sz w:val="18"/>
                <w:szCs w:val="18"/>
              </w:rPr>
              <w:t>份</w:t>
            </w:r>
          </w:p>
        </w:tc>
        <w:tc>
          <w:tcPr>
            <w:tcW w:w="1898" w:type="dxa"/>
            <w:tcBorders>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bookmarkEnd w:id="48"/>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8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lastRenderedPageBreak/>
        <w:drawing>
          <wp:inline distT="0" distB="0" distL="114300" distR="114300">
            <wp:extent cx="5184140" cy="1765935"/>
            <wp:effectExtent l="0" t="0" r="12700" b="0"/>
            <wp:docPr id="36" name="图片 17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6" name="图片 175"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bookmarkStart w:id="49" w:name="_Hlk15935554"/>
      <w:r>
        <w:rPr>
          <w:rFonts w:ascii="Times New Roman" w:eastAsia="宋体" w:hAnsi="Times New Roman" w:hint="eastAsia"/>
          <w:sz w:val="24"/>
          <w:szCs w:val="24"/>
        </w:rPr>
        <w:t>4.</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bookmarkEnd w:id="49"/>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纳税人应逐一申报全部土地的税源明细信息；地理位置、不动产权证号、宗地号、土地等级、土地用途等不相同的土地，分别进行土地税源明细申报。</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房产税源明细信息包括从价和从租，在申报从租计征税源信息之前，必须申报从价计征税源信息。同一产权证涉及多个房产的，应分别进行税源明细申报。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纳税人的土地、房产相关信息发生变化的，应申报税源变更明细信息，具体情形包括：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）房屋、土地权属发生转移或变更的，如出售、分割、赠与、继承等。</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）减免税信息发生变化的。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）土地纳税等级或税额标准发生变化的，房产原值或租金发生变化的。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4</w:t>
      </w:r>
      <w:r>
        <w:rPr>
          <w:rFonts w:ascii="宋体" w:eastAsia="宋体" w:hAnsi="宋体"/>
          <w:sz w:val="24"/>
          <w:szCs w:val="24"/>
        </w:rPr>
        <w:t>）面积、用途、坐落地址等基础信息发生变化的。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5</w:t>
      </w:r>
      <w:r>
        <w:rPr>
          <w:rFonts w:ascii="宋体" w:eastAsia="宋体" w:hAnsi="宋体"/>
          <w:sz w:val="24"/>
          <w:szCs w:val="24"/>
        </w:rPr>
        <w:t>）其他导致税源信息变化的情形。</w:t>
      </w:r>
    </w:p>
    <w:p w:rsidR="00C756C0" w:rsidRPr="00C756C0" w:rsidRDefault="00C756C0" w:rsidP="00C756C0">
      <w:pPr>
        <w:wordWrap w:val="0"/>
        <w:spacing w:line="360" w:lineRule="auto"/>
        <w:ind w:firstLineChars="200" w:firstLine="480"/>
        <w:rPr>
          <w:rFonts w:ascii="宋体" w:eastAsia="宋体" w:hAnsi="宋体" w:hint="eastAsia"/>
          <w:sz w:val="24"/>
          <w:szCs w:val="24"/>
        </w:rPr>
      </w:pPr>
      <w:r>
        <w:rPr>
          <w:rFonts w:ascii="Times New Roman" w:eastAsia="宋体" w:hAnsi="Times New Roman"/>
          <w:sz w:val="24"/>
          <w:szCs w:val="24"/>
        </w:rPr>
        <w:t>8</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ind w:firstLineChars="200" w:firstLine="420"/>
      </w:pPr>
      <w:r>
        <w:rPr>
          <w:rFonts w:hint="eastAsia"/>
        </w:rPr>
        <w:br w:type="page"/>
      </w:r>
    </w:p>
    <w:p w:rsidR="00B43696" w:rsidRDefault="007860CA">
      <w:pPr>
        <w:pStyle w:val="3sunshine"/>
        <w:keepNext w:val="0"/>
        <w:wordWrap w:val="0"/>
        <w:topLinePunct w:val="0"/>
        <w:adjustRightInd/>
        <w:snapToGrid/>
        <w:spacing w:before="332" w:after="332"/>
      </w:pPr>
      <w:r>
        <w:lastRenderedPageBreak/>
        <w:t>35.</w:t>
      </w:r>
      <w:r w:rsidR="00722CAA">
        <w:rPr>
          <w:rFonts w:hint="eastAsia"/>
        </w:rPr>
        <w:t xml:space="preserve">　建筑业项目报告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建筑业项目报告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纳税人提供建筑服务的，在取得建筑工程施工许可证30日内，向建筑项目所在地税务机关办理建筑业项目报告。</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纳税人提供异地建筑服务的，应同时按照上述规定向机构所在地主管税务机关进行建筑业工程项目报告。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866"/>
        <w:gridCol w:w="742"/>
        <w:gridCol w:w="1339"/>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67"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《建筑业工程项目情况报告表》</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652"/>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67"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加载统一社会信用代码的营业执照（或税务登记证、组织机构代码证等）原件</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r w:rsidR="00B43696">
        <w:trPr>
          <w:trHeight w:hRule="exact" w:val="340"/>
          <w:jc w:val="center"/>
        </w:trPr>
        <w:tc>
          <w:tcPr>
            <w:tcW w:w="83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381"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866"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3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取得建筑工程项目证书</w:t>
            </w:r>
          </w:p>
        </w:tc>
        <w:tc>
          <w:tcPr>
            <w:tcW w:w="3866"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中标通知书等建筑业工程项目证书复印件</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hRule="exact" w:val="737"/>
          <w:jc w:val="center"/>
        </w:trPr>
        <w:tc>
          <w:tcPr>
            <w:tcW w:w="23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未取得项目工程项目证书</w:t>
            </w:r>
          </w:p>
        </w:tc>
        <w:tc>
          <w:tcPr>
            <w:tcW w:w="3866"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写明工程施工地点、工程总造价、参建单位、联系人、联系电话等的书面材料</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tabs>
          <w:tab w:val="left" w:pos="6896"/>
        </w:tabs>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r>
        <w:rPr>
          <w:rFonts w:ascii="黑体" w:eastAsia="黑体" w:hAnsi="黑体" w:hint="eastAsia"/>
          <w:bCs/>
          <w:sz w:val="24"/>
          <w:szCs w:val="24"/>
        </w:rPr>
        <w:tab/>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84"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5"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38" name="图片 17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8" name="图片 177"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纳税人建筑业工程项目报告内容发生变化，应自报告内容发生变化之日起</w:t>
      </w:r>
      <w:r>
        <w:rPr>
          <w:rFonts w:ascii="Times New Roman" w:eastAsia="宋体" w:hAnsi="Times New Roman" w:hint="eastAsia"/>
          <w:sz w:val="24"/>
          <w:szCs w:val="24"/>
        </w:rPr>
        <w:lastRenderedPageBreak/>
        <w:t>30</w:t>
      </w:r>
      <w:r>
        <w:rPr>
          <w:rFonts w:ascii="宋体" w:eastAsia="宋体" w:hAnsi="宋体"/>
          <w:sz w:val="24"/>
          <w:szCs w:val="24"/>
        </w:rPr>
        <w:t>日内，持《建筑业工程项目情况报告表》向建筑服务发生地主管税务机关进行项目报告。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纳税人跨省（自治区、直辖市和计划单列市）临时从事生产经营活动的，还需要进行跨区域涉税事项报告及报验。</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6</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860CA">
      <w:pPr>
        <w:pStyle w:val="3sunshine"/>
        <w:keepNext w:val="0"/>
        <w:wordWrap w:val="0"/>
        <w:topLinePunct w:val="0"/>
        <w:adjustRightInd/>
        <w:snapToGrid/>
        <w:spacing w:before="332" w:after="332"/>
      </w:pPr>
      <w:r>
        <w:lastRenderedPageBreak/>
        <w:t>36.</w:t>
      </w:r>
      <w:r w:rsidR="00722CAA">
        <w:rPr>
          <w:rFonts w:hint="eastAsia"/>
        </w:rPr>
        <w:t xml:space="preserve">　注销建筑业项目报告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注销建筑业项目报告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纳税人建筑业工程项目完工后，自建筑业工程项目完工之日起30日内向建筑服务发生地主管税务机关进行项目报告。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39"/>
        <w:gridCol w:w="1134"/>
        <w:gridCol w:w="1456"/>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《建筑业工程项目情况报告表》</w:t>
            </w:r>
          </w:p>
        </w:tc>
        <w:tc>
          <w:tcPr>
            <w:tcW w:w="113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建筑业工程项目竣工结算报告或工程结算报告书复印件</w:t>
            </w:r>
          </w:p>
        </w:tc>
        <w:tc>
          <w:tcPr>
            <w:tcW w:w="113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86"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7"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39" name="图片 17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9" name="图片 178"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纳税人跨省（自治区、直辖市和计划单列市）临时从事生产经营活动的，还需要办理跨区域涉税事项信息反馈。</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860CA">
      <w:pPr>
        <w:pStyle w:val="3sunshine"/>
        <w:keepNext w:val="0"/>
        <w:wordWrap w:val="0"/>
        <w:topLinePunct w:val="0"/>
        <w:adjustRightInd/>
        <w:snapToGrid/>
        <w:spacing w:before="332" w:after="332"/>
      </w:pPr>
      <w:r>
        <w:lastRenderedPageBreak/>
        <w:t>37.</w:t>
      </w:r>
      <w:r w:rsidR="00722CAA">
        <w:rPr>
          <w:rFonts w:hint="eastAsia"/>
        </w:rPr>
        <w:t xml:space="preserve">　不动产项目报告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不动产项目报告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纳税人销售不动产的，在取得《建设工程规划许可证》30日内，向不动产所在地税务机关办理不动产项目报告。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《不动产项目情况报告表》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tabs>
                <w:tab w:val="center" w:pos="1086"/>
                <w:tab w:val="right" w:pos="2052"/>
              </w:tabs>
              <w:wordWrap w:val="0"/>
              <w:spacing w:line="320" w:lineRule="exact"/>
              <w:jc w:val="center"/>
              <w:rPr>
                <w:rFonts w:ascii="黑体" w:eastAsia="黑体" w:hAnsi="黑体"/>
                <w:b/>
                <w:bCs/>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88"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9"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0" name="图片 17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0" name="图片 179"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纳税人不动产项目报告内容发生变化，应自报告内容发生变化之日起</w:t>
      </w:r>
      <w:r>
        <w:rPr>
          <w:rFonts w:ascii="Times New Roman" w:eastAsia="宋体" w:hAnsi="Times New Roman" w:hint="eastAsia"/>
          <w:sz w:val="24"/>
          <w:szCs w:val="24"/>
        </w:rPr>
        <w:t>30</w:t>
      </w:r>
      <w:r>
        <w:rPr>
          <w:rFonts w:ascii="宋体" w:eastAsia="宋体" w:hAnsi="宋体"/>
          <w:sz w:val="24"/>
          <w:szCs w:val="24"/>
        </w:rPr>
        <w:t>日内，持《不动产项目情况报告表》向不动产所在地主管税务机关进行项目报告。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不动产项目登记以规划部门签发的《建设工程规划许可证》作为项目登记的依据。</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6</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420"/>
      </w:pPr>
      <w:r>
        <w:rPr>
          <w:rFonts w:hint="eastAsia"/>
        </w:rPr>
        <w:br w:type="page"/>
      </w:r>
    </w:p>
    <w:p w:rsidR="00B43696" w:rsidRDefault="007860CA">
      <w:pPr>
        <w:pStyle w:val="3sunshine"/>
        <w:keepNext w:val="0"/>
        <w:wordWrap w:val="0"/>
        <w:topLinePunct w:val="0"/>
        <w:adjustRightInd/>
        <w:snapToGrid/>
        <w:spacing w:before="332" w:after="332"/>
      </w:pPr>
      <w:r>
        <w:lastRenderedPageBreak/>
        <w:t>38.</w:t>
      </w:r>
      <w:r w:rsidR="00722CAA">
        <w:rPr>
          <w:rFonts w:hint="eastAsia"/>
        </w:rPr>
        <w:t xml:space="preserve">　注销不动产项目报告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注销不动产项目报告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纳税人不动产销售完毕后，自不动产销售完毕之日起30日内向不动产所在地主管税务机关申请办理注销项目报告。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《不动产项目情况报告表》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90"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1"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1" name="图片 18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1" name="图片 180"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w:t>
      </w:r>
      <w:r>
        <w:rPr>
          <w:rFonts w:ascii="宋体" w:eastAsia="宋体" w:hAnsi="宋体"/>
          <w:bCs w:val="0"/>
        </w:rPr>
        <w:t>纳税人对报送材料的真实性和合法性承担责任。</w:t>
      </w:r>
    </w:p>
    <w:p w:rsidR="00B43696" w:rsidRDefault="00722CAA">
      <w:pPr>
        <w:pStyle w:val="af5"/>
        <w:wordWrap w:val="0"/>
        <w:adjustRightInd/>
        <w:snapToGrid/>
        <w:rPr>
          <w:rFonts w:ascii="宋体" w:eastAsia="宋体" w:hAnsi="宋体"/>
          <w:bCs w:val="0"/>
        </w:rPr>
      </w:pPr>
      <w:r>
        <w:rPr>
          <w:rFonts w:ascii="宋体" w:eastAsia="宋体" w:hAnsi="宋体"/>
          <w:bCs w:val="0"/>
        </w:rPr>
        <w:t>2</w:t>
      </w:r>
      <w:r>
        <w:rPr>
          <w:rFonts w:ascii="宋体" w:eastAsia="宋体" w:hAnsi="宋体" w:hint="eastAsia"/>
          <w:bCs w:val="0"/>
        </w:rPr>
        <w:t>.文书表单可通过新疆税务局门户网站资料下载栏目查询下载或到办税服务厅领取。新疆税务局门户网站资料下载栏目：https://etax.xinjiang.chinatax.gov.cn/gzfw/xzfw/</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w:t>
      </w:r>
      <w:r>
        <w:rPr>
          <w:rFonts w:ascii="宋体" w:eastAsia="宋体" w:hAnsi="宋体"/>
          <w:bCs w:val="0"/>
        </w:rPr>
        <w:t>纳税人使用符合电子签名法规定条件的电子签名，与手写签名或者盖章具有同等法律效力。</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4</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rsidP="00C756C0">
      <w:pPr>
        <w:rPr>
          <w:rFonts w:hint="eastAsia"/>
        </w:rPr>
      </w:pPr>
    </w:p>
    <w:p w:rsidR="00B43696" w:rsidRDefault="00722CAA">
      <w:pPr>
        <w:ind w:firstLineChars="200" w:firstLine="420"/>
      </w:pPr>
      <w:r>
        <w:rPr>
          <w:rFonts w:hint="eastAsia"/>
        </w:rPr>
        <w:br w:type="page"/>
      </w:r>
    </w:p>
    <w:p w:rsidR="00B43696" w:rsidRDefault="007860CA">
      <w:pPr>
        <w:pStyle w:val="3sunshine"/>
        <w:keepNext w:val="0"/>
        <w:wordWrap w:val="0"/>
        <w:topLinePunct w:val="0"/>
        <w:adjustRightInd/>
        <w:snapToGrid/>
        <w:spacing w:before="332" w:after="332"/>
      </w:pPr>
      <w:r>
        <w:lastRenderedPageBreak/>
        <w:t>39.</w:t>
      </w:r>
      <w:r w:rsidR="00722CAA">
        <w:rPr>
          <w:rFonts w:hint="eastAsia"/>
        </w:rPr>
        <w:t xml:space="preserve">　</w:t>
      </w:r>
      <w:r w:rsidR="00722CAA">
        <w:rPr>
          <w:rFonts w:ascii="黑体" w:hAnsi="黑体" w:hint="eastAsia"/>
        </w:rPr>
        <w:t>房地产税收一体化信息报告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房地产税收一体化信息报告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房地产税收一体化管理过程中，纳税人应在土地使用权取得、房地产开发、交易和保有等环节，向税务机关报告土</w:t>
      </w:r>
      <w:r>
        <w:rPr>
          <w:rFonts w:ascii="宋体" w:eastAsia="宋体" w:hAnsi="宋体"/>
          <w:bCs w:val="0"/>
        </w:rPr>
        <w:t>地出（转）让、税源申报明细报告、增量房销售、存量房销售等</w:t>
      </w:r>
      <w:r>
        <w:rPr>
          <w:rFonts w:ascii="宋体" w:eastAsia="宋体" w:hAnsi="宋体" w:hint="eastAsia"/>
          <w:bCs w:val="0"/>
        </w:rPr>
        <w:t>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《房地产税收一体化管理业务规程》（国税发〔</w:t>
      </w:r>
      <w:r>
        <w:rPr>
          <w:rFonts w:ascii="宋体" w:eastAsia="宋体" w:hAnsi="宋体"/>
          <w:sz w:val="24"/>
          <w:szCs w:val="24"/>
        </w:rPr>
        <w:t>2007〕114号）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土地出（转）让信息报告：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土地出让（转让）合同原件及复印件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cs="Microsoft Himalaya"/>
                <w:sz w:val="18"/>
                <w:szCs w:val="18"/>
              </w:rPr>
              <w:t>原件查验后退回</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不动产权属资料</w:t>
            </w:r>
            <w:r>
              <w:rPr>
                <w:rFonts w:ascii="黑体" w:eastAsia="黑体" w:hAnsi="黑体"/>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税源申报明细报告：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《税源申报明细报告表》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增量房销售信息报告：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51"/>
        <w:gridCol w:w="228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《增量房销售信息表》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425"/>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425"/>
          <w:jc w:val="center"/>
        </w:trPr>
        <w:tc>
          <w:tcPr>
            <w:tcW w:w="29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2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293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开发商与购房者初次签订购房合同</w:t>
            </w:r>
          </w:p>
        </w:tc>
        <w:tc>
          <w:tcPr>
            <w:tcW w:w="228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房屋销售合同原件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cs="Microsoft Himalaya"/>
                <w:sz w:val="18"/>
                <w:szCs w:val="18"/>
              </w:rPr>
              <w:t>查验后退回</w:t>
            </w: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存量房销售信息报告：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651"/>
        <w:gridCol w:w="288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《存量房销售信息表》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425"/>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425"/>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94"/>
          <w:jc w:val="center"/>
        </w:trPr>
        <w:tc>
          <w:tcPr>
            <w:tcW w:w="2331" w:type="dxa"/>
            <w:gridSpan w:val="2"/>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纳税人进行交易的存量房房产之前未进行过登记</w:t>
            </w:r>
          </w:p>
        </w:tc>
        <w:tc>
          <w:tcPr>
            <w:tcW w:w="288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房屋转让合同复印件或</w:t>
            </w:r>
            <w:r>
              <w:rPr>
                <w:rFonts w:ascii="黑体" w:eastAsia="黑体" w:hAnsi="黑体" w:hint="eastAsia"/>
                <w:sz w:val="18"/>
                <w:szCs w:val="18"/>
              </w:rPr>
              <w:t>不动产</w:t>
            </w:r>
          </w:p>
          <w:p w:rsidR="00B43696" w:rsidRDefault="00722CAA">
            <w:pPr>
              <w:wordWrap w:val="0"/>
              <w:ind w:firstLineChars="200" w:firstLine="360"/>
              <w:jc w:val="center"/>
              <w:rPr>
                <w:rFonts w:ascii="黑体" w:eastAsia="黑体" w:hAnsi="黑体"/>
                <w:sz w:val="18"/>
                <w:szCs w:val="18"/>
              </w:rPr>
            </w:pPr>
            <w:r>
              <w:rPr>
                <w:rFonts w:ascii="黑体" w:eastAsia="黑体" w:hAnsi="黑体" w:hint="eastAsia"/>
                <w:sz w:val="18"/>
                <w:szCs w:val="18"/>
              </w:rPr>
              <w:t>权属资料</w:t>
            </w:r>
            <w:r>
              <w:rPr>
                <w:rFonts w:ascii="黑体" w:eastAsia="黑体" w:hAnsi="黑体"/>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621AA5">
      <w:pPr>
        <w:pStyle w:val="af5"/>
        <w:widowControl/>
        <w:wordWrap w:val="0"/>
        <w:adjustRightInd/>
        <w:snapToGrid/>
        <w:rPr>
          <w:rFonts w:ascii="宋体" w:eastAsia="宋体" w:hAnsi="宋体" w:cstheme="minorBidi"/>
          <w:bCs w:val="0"/>
        </w:rPr>
      </w:pPr>
      <w:hyperlink r:id="rId9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2" name="图片 18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2" name="图片 181"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3.</w:t>
      </w:r>
      <w:r>
        <w:rPr>
          <w:rFonts w:ascii="宋体" w:eastAsia="宋体" w:hAnsi="宋体"/>
          <w:sz w:val="24"/>
          <w:szCs w:val="24"/>
        </w:rPr>
        <w:t>房地产税收一体化管理，是以涉及房地产各税种日常管理为基础，通过各级税务与自然资源、住房建设、发改委、监察等部门协作，涉税信息共享，先税后证、以票控税、源泉控管，提高房地产税收管理的科学化、精细化、规范化水平，方便纳税人办理房地产涉税事项的重要举措。</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房地产税收包括土地使用权取得和房地产开发、交易、保有等环节涉及的增值税、城市维护建设税、教育费附加、企业所得税、个人所得税、土地增值税、城镇土地使用税、房产税、印花税、耕地占用税、契税等税种。</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722CAA">
      <w:pPr>
        <w:ind w:firstLineChars="200" w:firstLine="562"/>
        <w:rPr>
          <w:rFonts w:ascii="Times New Roman" w:eastAsia="黑体" w:hAnsi="Times New Roman"/>
          <w:b/>
          <w:bCs/>
          <w:kern w:val="24"/>
          <w:sz w:val="28"/>
          <w:szCs w:val="28"/>
        </w:rPr>
      </w:pPr>
      <w:r>
        <w:rPr>
          <w:rFonts w:ascii="Times New Roman" w:eastAsia="黑体" w:hAnsi="Times New Roman" w:hint="eastAsia"/>
          <w:b/>
          <w:bCs/>
          <w:kern w:val="24"/>
          <w:sz w:val="28"/>
          <w:szCs w:val="28"/>
        </w:rPr>
        <w:br w:type="page"/>
      </w:r>
    </w:p>
    <w:p w:rsidR="00B43696" w:rsidRDefault="007860CA">
      <w:pPr>
        <w:wordWrap w:val="0"/>
        <w:spacing w:beforeLines="100" w:before="332" w:afterLines="100" w:after="332" w:line="360" w:lineRule="auto"/>
        <w:ind w:firstLineChars="200" w:firstLine="562"/>
        <w:outlineLvl w:val="2"/>
        <w:rPr>
          <w:rFonts w:ascii="Times New Roman" w:eastAsia="黑体" w:hAnsi="Times New Roman"/>
          <w:b/>
          <w:bCs/>
          <w:kern w:val="24"/>
          <w:sz w:val="28"/>
          <w:szCs w:val="28"/>
        </w:rPr>
      </w:pPr>
      <w:r>
        <w:rPr>
          <w:rFonts w:ascii="Times New Roman" w:eastAsia="黑体" w:hAnsi="Times New Roman"/>
          <w:b/>
          <w:bCs/>
          <w:kern w:val="24"/>
          <w:sz w:val="28"/>
          <w:szCs w:val="28"/>
        </w:rPr>
        <w:lastRenderedPageBreak/>
        <w:t>40.</w:t>
      </w:r>
      <w:r w:rsidR="00722CAA">
        <w:rPr>
          <w:rFonts w:ascii="Times New Roman" w:eastAsia="黑体" w:hAnsi="Times New Roman" w:hint="eastAsia"/>
          <w:b/>
          <w:bCs/>
          <w:kern w:val="24"/>
          <w:sz w:val="28"/>
          <w:szCs w:val="28"/>
        </w:rPr>
        <w:t xml:space="preserve">　税收统计调查数据采集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税收统计调查数据采集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被调查企业向税务机关提供税收、财务、经营等第一手数据，为国家推进税制改革和研究制定财税政策提供重要依据。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税收统计调查数据采集范围包括：税收资料调查企业数据采集、企业集团数据采集、重点税源企业数据采集、消费税涉税信息采集等。</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报送成品油消费税涉税信息的企业：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38"/>
        <w:gridCol w:w="768"/>
        <w:gridCol w:w="1177"/>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3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《成品油消费税涉税信息采集表》</w:t>
            </w:r>
          </w:p>
        </w:tc>
        <w:tc>
          <w:tcPr>
            <w:tcW w:w="7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经税务机关认定为企业集团需每年定期报送企业集团及其成员单位税收调查数据的企业：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38"/>
        <w:gridCol w:w="768"/>
        <w:gridCol w:w="1177"/>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3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《企业集团税收调查表》</w:t>
            </w:r>
          </w:p>
        </w:tc>
        <w:tc>
          <w:tcPr>
            <w:tcW w:w="7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《企业集团成员单位税收调查表》</w:t>
            </w:r>
          </w:p>
        </w:tc>
        <w:tc>
          <w:tcPr>
            <w:tcW w:w="7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经税务机关认定为税收调查数据采集，需每年定期报送企业税收调查数据的企业：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38"/>
        <w:gridCol w:w="780"/>
        <w:gridCol w:w="1165"/>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3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《全国企业税收调查表（XXB信息表）》</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《全国企业税收调查表（B</w:t>
            </w:r>
            <w:r>
              <w:rPr>
                <w:rFonts w:ascii="Times New Roman" w:eastAsia="黑体" w:hAnsi="Times New Roman" w:hint="eastAsia"/>
                <w:sz w:val="18"/>
                <w:szCs w:val="18"/>
              </w:rPr>
              <w:t>0</w:t>
            </w:r>
            <w:r>
              <w:rPr>
                <w:rFonts w:ascii="黑体" w:eastAsia="黑体" w:hAnsi="黑体"/>
                <w:sz w:val="18"/>
                <w:szCs w:val="18"/>
              </w:rPr>
              <w:t>企业表）》</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《全国企业税收调查表（B</w:t>
            </w:r>
            <w:r>
              <w:rPr>
                <w:rFonts w:ascii="Times New Roman" w:eastAsia="黑体" w:hAnsi="Times New Roman" w:hint="eastAsia"/>
                <w:sz w:val="18"/>
                <w:szCs w:val="18"/>
              </w:rPr>
              <w:t>1</w:t>
            </w:r>
            <w:r>
              <w:rPr>
                <w:rFonts w:ascii="黑体" w:eastAsia="黑体" w:hAnsi="黑体"/>
                <w:sz w:val="18"/>
                <w:szCs w:val="18"/>
              </w:rPr>
              <w:t>货物劳务表）》</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Times New Roman" w:eastAsia="黑体" w:hAnsi="Times New Roman"/>
                <w:sz w:val="18"/>
                <w:szCs w:val="18"/>
              </w:rPr>
            </w:pPr>
            <w:r>
              <w:rPr>
                <w:rFonts w:ascii="Times New Roman" w:eastAsia="黑体" w:hAnsi="Times New Roman" w:hint="eastAsia"/>
                <w:sz w:val="18"/>
                <w:szCs w:val="18"/>
              </w:rPr>
              <w:t>4</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《调查问卷》</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Times New Roman" w:eastAsia="黑体" w:hAnsi="Times New Roman"/>
                <w:sz w:val="18"/>
                <w:szCs w:val="18"/>
              </w:rPr>
            </w:pPr>
            <w:r>
              <w:rPr>
                <w:rFonts w:ascii="Times New Roman" w:eastAsia="黑体" w:hAnsi="Times New Roman" w:hint="eastAsia"/>
                <w:sz w:val="18"/>
                <w:szCs w:val="18"/>
              </w:rPr>
              <w:t>1</w:t>
            </w:r>
            <w:r>
              <w:rPr>
                <w:rFonts w:ascii="Times New Roman" w:eastAsia="黑体" w:hAnsi="Times New Roman" w:hint="eastAsia"/>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经税务机关认定为重点税源企业数据采集，需每年定期报送企业集团及其成员单位税收调查数据的企业：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26"/>
        <w:gridCol w:w="792"/>
        <w:gridCol w:w="1165"/>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2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9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《重点税源企业基本信息表（XXB表）》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《重点税源企业税收信息（月报）表（B</w:t>
            </w:r>
            <w:r>
              <w:rPr>
                <w:rFonts w:ascii="Times New Roman" w:eastAsia="黑体" w:hAnsi="Times New Roman" w:hint="eastAsia"/>
                <w:sz w:val="18"/>
                <w:szCs w:val="18"/>
              </w:rPr>
              <w:t>1</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lastRenderedPageBreak/>
              <w:t>3</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《重点税源企业主要产品与税收信息（月报）表（B</w:t>
            </w:r>
            <w:r>
              <w:rPr>
                <w:rFonts w:ascii="Times New Roman" w:eastAsia="黑体" w:hAnsi="Times New Roman" w:hint="eastAsia"/>
                <w:sz w:val="18"/>
                <w:szCs w:val="18"/>
              </w:rPr>
              <w:t>2</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《重点税源企业财务信息（季报）表（B</w:t>
            </w:r>
            <w:r>
              <w:rPr>
                <w:rFonts w:ascii="Times New Roman" w:eastAsia="黑体" w:hAnsi="Times New Roman" w:hint="eastAsia"/>
                <w:sz w:val="18"/>
                <w:szCs w:val="18"/>
              </w:rPr>
              <w:t>3</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《重点税源企业景气调查问卷（季报）表（B</w:t>
            </w:r>
            <w:r>
              <w:rPr>
                <w:rFonts w:ascii="Times New Roman" w:eastAsia="黑体" w:hAnsi="Times New Roman" w:hint="eastAsia"/>
                <w:sz w:val="18"/>
                <w:szCs w:val="18"/>
              </w:rPr>
              <w:t>4</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621AA5">
      <w:pPr>
        <w:pStyle w:val="af5"/>
        <w:widowControl/>
        <w:wordWrap w:val="0"/>
        <w:adjustRightInd/>
        <w:snapToGrid/>
        <w:rPr>
          <w:rStyle w:val="af2"/>
          <w:rFonts w:ascii="宋体" w:eastAsia="宋体" w:hAnsi="宋体"/>
        </w:rPr>
      </w:pPr>
      <w:hyperlink r:id="rId94"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5"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3" name="图片 18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3" name="图片 182"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w:t>
      </w:r>
      <w:r>
        <w:rPr>
          <w:rFonts w:ascii="宋体" w:eastAsia="宋体" w:hAnsi="宋体" w:hint="eastAsia"/>
          <w:sz w:val="24"/>
          <w:szCs w:val="24"/>
        </w:rPr>
        <w:lastRenderedPageBreak/>
        <w:t>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税收调查企业数据采集是指税收调查企业认定后需要定期向税务机关报送税收调查数据，反映分户基本信息。</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企业集团数据采集是指经认定为企业集团的纳税人需要每年定期向税务机关报送企业集团及其成员单位税收调查数据。</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重点税源企业数据采集是指</w:t>
      </w:r>
      <w:r>
        <w:rPr>
          <w:rFonts w:ascii="宋体" w:eastAsia="宋体" w:hAnsi="宋体" w:hint="eastAsia"/>
          <w:sz w:val="24"/>
          <w:szCs w:val="24"/>
        </w:rPr>
        <w:t>经认定为重点税源企业的纳税人需要定期向税务机关报送涉税数据，形成信息表、税收表、财务表（季报）、主要产品用于税收表、调查问卷（季报）等五种报表资料。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成品油消费税涉税信息采集是指每年度</w:t>
      </w:r>
      <w:r>
        <w:rPr>
          <w:rFonts w:ascii="Times New Roman" w:eastAsia="宋体" w:hAnsi="Times New Roman" w:hint="eastAsia"/>
          <w:sz w:val="24"/>
          <w:szCs w:val="24"/>
        </w:rPr>
        <w:t>5</w:t>
      </w:r>
      <w:r>
        <w:rPr>
          <w:rFonts w:ascii="宋体" w:eastAsia="宋体" w:hAnsi="宋体"/>
          <w:sz w:val="24"/>
          <w:szCs w:val="24"/>
        </w:rPr>
        <w:t>月底之前，主管税务机关应就成品油消费税税目采集消费税纳税人信息和消费税货物信息，便于总局对全国消费税涉税信息进行统计分析和供各级税务局</w:t>
      </w:r>
      <w:r>
        <w:rPr>
          <w:rFonts w:ascii="宋体" w:eastAsia="宋体" w:hAnsi="宋体" w:hint="eastAsia"/>
          <w:sz w:val="24"/>
          <w:szCs w:val="24"/>
        </w:rPr>
        <w:t>做</w:t>
      </w:r>
      <w:r>
        <w:rPr>
          <w:rFonts w:ascii="宋体" w:eastAsia="宋体" w:hAnsi="宋体"/>
          <w:sz w:val="24"/>
          <w:szCs w:val="24"/>
        </w:rPr>
        <w:t>消费税纳税评估、税收核查等应用，以便及时掌握消费税税源变化情况，评估分析消费税税收政策执行效应，为消费税税收政策调整提供数据支持。</w:t>
      </w:r>
    </w:p>
    <w:p w:rsidR="00C756C0" w:rsidRPr="00621AA5" w:rsidRDefault="00C756C0" w:rsidP="00C756C0">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8</w:t>
      </w:r>
      <w:bookmarkStart w:id="50" w:name="_GoBack"/>
      <w:bookmarkEnd w:id="50"/>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C756C0" w:rsidRPr="00C756C0" w:rsidRDefault="00C756C0">
      <w:pPr>
        <w:wordWrap w:val="0"/>
        <w:spacing w:line="360" w:lineRule="auto"/>
        <w:ind w:firstLineChars="200" w:firstLine="480"/>
        <w:rPr>
          <w:rFonts w:ascii="宋体" w:eastAsia="宋体" w:hAnsi="宋体" w:hint="eastAsia"/>
          <w:sz w:val="24"/>
          <w:szCs w:val="24"/>
        </w:rPr>
      </w:pPr>
    </w:p>
    <w:p w:rsidR="00B43696" w:rsidRDefault="00B43696" w:rsidP="007860CA">
      <w:pPr>
        <w:rPr>
          <w:rFonts w:ascii="宋体" w:eastAsia="宋体" w:hAnsi="宋体"/>
          <w:sz w:val="24"/>
          <w:szCs w:val="24"/>
        </w:rPr>
      </w:pPr>
    </w:p>
    <w:sectPr w:rsidR="00B43696">
      <w:pgSz w:w="11906" w:h="16838"/>
      <w:pgMar w:top="1440" w:right="1800" w:bottom="1440" w:left="1800"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D8" w:rsidRDefault="00484ED8" w:rsidP="00773559">
      <w:r>
        <w:separator/>
      </w:r>
    </w:p>
  </w:endnote>
  <w:endnote w:type="continuationSeparator" w:id="0">
    <w:p w:rsidR="00484ED8" w:rsidRDefault="00484ED8" w:rsidP="0077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Tahoma">
    <w:charset w:val="00"/>
    <w:family w:val="swiss"/>
    <w:pitch w:val="variable"/>
    <w:sig w:usb0="61002A87" w:usb1="80000000" w:usb2="00000008" w:usb3="00000000" w:csb0="000101FF"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兰亭黑_GBK">
    <w:altName w:val="微软雅黑"/>
    <w:charset w:val="86"/>
    <w:family w:val="auto"/>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 w:name="Microsoft Himalaya">
    <w:charset w:val="00"/>
    <w:family w:val="auto"/>
    <w:pitch w:val="variable"/>
    <w:sig w:usb0="80000003" w:usb1="00010000" w:usb2="00000040" w:usb3="00000000" w:csb0="00000001" w:csb1="00000000"/>
  </w:font>
  <w:font w:name="仿宋_GB2312">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D8" w:rsidRDefault="00484ED8" w:rsidP="00773559">
      <w:r>
        <w:separator/>
      </w:r>
    </w:p>
  </w:footnote>
  <w:footnote w:type="continuationSeparator" w:id="0">
    <w:p w:rsidR="00484ED8" w:rsidRDefault="00484ED8" w:rsidP="00773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1"/>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A5"/>
    <w:rsid w:val="00003CC1"/>
    <w:rsid w:val="00007478"/>
    <w:rsid w:val="00011690"/>
    <w:rsid w:val="000143A1"/>
    <w:rsid w:val="00015F8C"/>
    <w:rsid w:val="00027B0F"/>
    <w:rsid w:val="00035E79"/>
    <w:rsid w:val="00044435"/>
    <w:rsid w:val="00045F56"/>
    <w:rsid w:val="00046240"/>
    <w:rsid w:val="000471B5"/>
    <w:rsid w:val="00054925"/>
    <w:rsid w:val="00056600"/>
    <w:rsid w:val="00057F10"/>
    <w:rsid w:val="000631CC"/>
    <w:rsid w:val="00065FFF"/>
    <w:rsid w:val="000667EC"/>
    <w:rsid w:val="00066F28"/>
    <w:rsid w:val="000705E0"/>
    <w:rsid w:val="00071047"/>
    <w:rsid w:val="00072704"/>
    <w:rsid w:val="00072AF3"/>
    <w:rsid w:val="00072B1D"/>
    <w:rsid w:val="000735EA"/>
    <w:rsid w:val="00074ABC"/>
    <w:rsid w:val="00080B1E"/>
    <w:rsid w:val="00082747"/>
    <w:rsid w:val="00084259"/>
    <w:rsid w:val="000905D7"/>
    <w:rsid w:val="00090668"/>
    <w:rsid w:val="00090892"/>
    <w:rsid w:val="00091172"/>
    <w:rsid w:val="00092891"/>
    <w:rsid w:val="000932CF"/>
    <w:rsid w:val="00094313"/>
    <w:rsid w:val="0009475B"/>
    <w:rsid w:val="000969C0"/>
    <w:rsid w:val="00097A3B"/>
    <w:rsid w:val="00097E44"/>
    <w:rsid w:val="000A1707"/>
    <w:rsid w:val="000A6CEA"/>
    <w:rsid w:val="000A7092"/>
    <w:rsid w:val="000B05C5"/>
    <w:rsid w:val="000B07BC"/>
    <w:rsid w:val="000B2049"/>
    <w:rsid w:val="000B21F9"/>
    <w:rsid w:val="000B345C"/>
    <w:rsid w:val="000B3E44"/>
    <w:rsid w:val="000B40DE"/>
    <w:rsid w:val="000B4172"/>
    <w:rsid w:val="000B7126"/>
    <w:rsid w:val="000B7363"/>
    <w:rsid w:val="000C305E"/>
    <w:rsid w:val="000D76EF"/>
    <w:rsid w:val="000D798D"/>
    <w:rsid w:val="000D7EDB"/>
    <w:rsid w:val="000E239C"/>
    <w:rsid w:val="000E3DDD"/>
    <w:rsid w:val="000F0463"/>
    <w:rsid w:val="000F0EB1"/>
    <w:rsid w:val="000F17CD"/>
    <w:rsid w:val="000F32BD"/>
    <w:rsid w:val="000F37A0"/>
    <w:rsid w:val="000F38A5"/>
    <w:rsid w:val="000F474D"/>
    <w:rsid w:val="00103262"/>
    <w:rsid w:val="001104A9"/>
    <w:rsid w:val="00110528"/>
    <w:rsid w:val="001136C0"/>
    <w:rsid w:val="001144E9"/>
    <w:rsid w:val="001168A7"/>
    <w:rsid w:val="0011696C"/>
    <w:rsid w:val="00116A28"/>
    <w:rsid w:val="00116BBB"/>
    <w:rsid w:val="00117A7F"/>
    <w:rsid w:val="00125961"/>
    <w:rsid w:val="00125B66"/>
    <w:rsid w:val="00125D20"/>
    <w:rsid w:val="0012662E"/>
    <w:rsid w:val="00137399"/>
    <w:rsid w:val="001443F6"/>
    <w:rsid w:val="001453D0"/>
    <w:rsid w:val="00147916"/>
    <w:rsid w:val="00150CB5"/>
    <w:rsid w:val="00152B93"/>
    <w:rsid w:val="00152D15"/>
    <w:rsid w:val="001607B2"/>
    <w:rsid w:val="00161596"/>
    <w:rsid w:val="00161E60"/>
    <w:rsid w:val="00162282"/>
    <w:rsid w:val="00170556"/>
    <w:rsid w:val="00172879"/>
    <w:rsid w:val="00172A27"/>
    <w:rsid w:val="00173536"/>
    <w:rsid w:val="00174931"/>
    <w:rsid w:val="00174B3D"/>
    <w:rsid w:val="00174DDB"/>
    <w:rsid w:val="0018038D"/>
    <w:rsid w:val="0018091F"/>
    <w:rsid w:val="00180A59"/>
    <w:rsid w:val="00180C5E"/>
    <w:rsid w:val="00187108"/>
    <w:rsid w:val="00194679"/>
    <w:rsid w:val="001947C5"/>
    <w:rsid w:val="00196073"/>
    <w:rsid w:val="0019796B"/>
    <w:rsid w:val="00197F3F"/>
    <w:rsid w:val="001A1DDF"/>
    <w:rsid w:val="001A1F73"/>
    <w:rsid w:val="001A2DEB"/>
    <w:rsid w:val="001A3B58"/>
    <w:rsid w:val="001B12FA"/>
    <w:rsid w:val="001B1A83"/>
    <w:rsid w:val="001B22AC"/>
    <w:rsid w:val="001B448C"/>
    <w:rsid w:val="001B48C5"/>
    <w:rsid w:val="001B517C"/>
    <w:rsid w:val="001B75DD"/>
    <w:rsid w:val="001C00E3"/>
    <w:rsid w:val="001C7AC4"/>
    <w:rsid w:val="001D0D47"/>
    <w:rsid w:val="001D1DD0"/>
    <w:rsid w:val="001D27B3"/>
    <w:rsid w:val="001D2CA2"/>
    <w:rsid w:val="001D45EB"/>
    <w:rsid w:val="001D5CC0"/>
    <w:rsid w:val="001D5F11"/>
    <w:rsid w:val="001D6ADF"/>
    <w:rsid w:val="001F0082"/>
    <w:rsid w:val="001F1B2B"/>
    <w:rsid w:val="001F1C70"/>
    <w:rsid w:val="002020B2"/>
    <w:rsid w:val="00204DF1"/>
    <w:rsid w:val="00211E40"/>
    <w:rsid w:val="0021644C"/>
    <w:rsid w:val="0021709B"/>
    <w:rsid w:val="0021741E"/>
    <w:rsid w:val="002174B9"/>
    <w:rsid w:val="00222DEF"/>
    <w:rsid w:val="002312E4"/>
    <w:rsid w:val="00231456"/>
    <w:rsid w:val="00231FB7"/>
    <w:rsid w:val="002327B0"/>
    <w:rsid w:val="00234FDC"/>
    <w:rsid w:val="0023688A"/>
    <w:rsid w:val="00240B6E"/>
    <w:rsid w:val="00241E71"/>
    <w:rsid w:val="0024537A"/>
    <w:rsid w:val="00245C1A"/>
    <w:rsid w:val="00247A28"/>
    <w:rsid w:val="002503D3"/>
    <w:rsid w:val="0025305D"/>
    <w:rsid w:val="00257E57"/>
    <w:rsid w:val="00260DE9"/>
    <w:rsid w:val="00266A13"/>
    <w:rsid w:val="0027203E"/>
    <w:rsid w:val="00272775"/>
    <w:rsid w:val="0028005E"/>
    <w:rsid w:val="00280A50"/>
    <w:rsid w:val="00281543"/>
    <w:rsid w:val="00282CCF"/>
    <w:rsid w:val="00283D8E"/>
    <w:rsid w:val="002842CE"/>
    <w:rsid w:val="00285E03"/>
    <w:rsid w:val="00295D04"/>
    <w:rsid w:val="00295EFA"/>
    <w:rsid w:val="002A2D07"/>
    <w:rsid w:val="002A5715"/>
    <w:rsid w:val="002A7713"/>
    <w:rsid w:val="002B104A"/>
    <w:rsid w:val="002B1141"/>
    <w:rsid w:val="002B2105"/>
    <w:rsid w:val="002C040C"/>
    <w:rsid w:val="002C2A58"/>
    <w:rsid w:val="002C4005"/>
    <w:rsid w:val="002D1B03"/>
    <w:rsid w:val="002D2F22"/>
    <w:rsid w:val="002D570C"/>
    <w:rsid w:val="002E0024"/>
    <w:rsid w:val="002E4B32"/>
    <w:rsid w:val="002E4C2D"/>
    <w:rsid w:val="002E564C"/>
    <w:rsid w:val="002E6424"/>
    <w:rsid w:val="002F185D"/>
    <w:rsid w:val="002F51E3"/>
    <w:rsid w:val="002F54A3"/>
    <w:rsid w:val="002F6ABB"/>
    <w:rsid w:val="00301642"/>
    <w:rsid w:val="0030441D"/>
    <w:rsid w:val="00305182"/>
    <w:rsid w:val="003055EE"/>
    <w:rsid w:val="00317396"/>
    <w:rsid w:val="00317954"/>
    <w:rsid w:val="0032441A"/>
    <w:rsid w:val="00325957"/>
    <w:rsid w:val="003305F5"/>
    <w:rsid w:val="00331F81"/>
    <w:rsid w:val="00334BF9"/>
    <w:rsid w:val="003352CA"/>
    <w:rsid w:val="003453BC"/>
    <w:rsid w:val="00346858"/>
    <w:rsid w:val="00351F6B"/>
    <w:rsid w:val="0035469F"/>
    <w:rsid w:val="003553A9"/>
    <w:rsid w:val="00356CFB"/>
    <w:rsid w:val="00362EA1"/>
    <w:rsid w:val="0037302C"/>
    <w:rsid w:val="00374732"/>
    <w:rsid w:val="00375DC9"/>
    <w:rsid w:val="00377C01"/>
    <w:rsid w:val="00382820"/>
    <w:rsid w:val="0038285C"/>
    <w:rsid w:val="0038293C"/>
    <w:rsid w:val="00386196"/>
    <w:rsid w:val="003917DF"/>
    <w:rsid w:val="003921B8"/>
    <w:rsid w:val="0039438A"/>
    <w:rsid w:val="00394EAD"/>
    <w:rsid w:val="00395034"/>
    <w:rsid w:val="003966A9"/>
    <w:rsid w:val="003972AD"/>
    <w:rsid w:val="00397D16"/>
    <w:rsid w:val="003A32FC"/>
    <w:rsid w:val="003A42A6"/>
    <w:rsid w:val="003A7A00"/>
    <w:rsid w:val="003B1638"/>
    <w:rsid w:val="003B44F0"/>
    <w:rsid w:val="003B5E9A"/>
    <w:rsid w:val="003B6A9E"/>
    <w:rsid w:val="003B746A"/>
    <w:rsid w:val="003C04AD"/>
    <w:rsid w:val="003C0690"/>
    <w:rsid w:val="003C0E1A"/>
    <w:rsid w:val="003C222E"/>
    <w:rsid w:val="003C27C1"/>
    <w:rsid w:val="003C3E0C"/>
    <w:rsid w:val="003D371A"/>
    <w:rsid w:val="003D4127"/>
    <w:rsid w:val="003D7640"/>
    <w:rsid w:val="003E190D"/>
    <w:rsid w:val="003E2096"/>
    <w:rsid w:val="003E6116"/>
    <w:rsid w:val="003E7321"/>
    <w:rsid w:val="003F1E96"/>
    <w:rsid w:val="003F58DA"/>
    <w:rsid w:val="003F6556"/>
    <w:rsid w:val="00405CA3"/>
    <w:rsid w:val="00406AEF"/>
    <w:rsid w:val="00407F98"/>
    <w:rsid w:val="00413510"/>
    <w:rsid w:val="00416EEB"/>
    <w:rsid w:val="00421032"/>
    <w:rsid w:val="0042216A"/>
    <w:rsid w:val="00422F0F"/>
    <w:rsid w:val="00424F07"/>
    <w:rsid w:val="004271E7"/>
    <w:rsid w:val="0043325D"/>
    <w:rsid w:val="004336CD"/>
    <w:rsid w:val="00436D55"/>
    <w:rsid w:val="004448C3"/>
    <w:rsid w:val="00446384"/>
    <w:rsid w:val="00447B60"/>
    <w:rsid w:val="00451734"/>
    <w:rsid w:val="0045178C"/>
    <w:rsid w:val="004520BA"/>
    <w:rsid w:val="0046703A"/>
    <w:rsid w:val="00467BFC"/>
    <w:rsid w:val="004703EB"/>
    <w:rsid w:val="0047474A"/>
    <w:rsid w:val="00475635"/>
    <w:rsid w:val="00475C74"/>
    <w:rsid w:val="00475CCE"/>
    <w:rsid w:val="0047601E"/>
    <w:rsid w:val="00482EB6"/>
    <w:rsid w:val="004831B8"/>
    <w:rsid w:val="00483289"/>
    <w:rsid w:val="004842D7"/>
    <w:rsid w:val="004846A6"/>
    <w:rsid w:val="00484ED8"/>
    <w:rsid w:val="004863CE"/>
    <w:rsid w:val="004961F1"/>
    <w:rsid w:val="004968EA"/>
    <w:rsid w:val="004A2428"/>
    <w:rsid w:val="004A2594"/>
    <w:rsid w:val="004A3B81"/>
    <w:rsid w:val="004B102E"/>
    <w:rsid w:val="004B4CD4"/>
    <w:rsid w:val="004B763D"/>
    <w:rsid w:val="004C370F"/>
    <w:rsid w:val="004C799B"/>
    <w:rsid w:val="004D00F5"/>
    <w:rsid w:val="004D2122"/>
    <w:rsid w:val="004D4B85"/>
    <w:rsid w:val="004D6B59"/>
    <w:rsid w:val="004D6FC7"/>
    <w:rsid w:val="004E4DB0"/>
    <w:rsid w:val="004E6646"/>
    <w:rsid w:val="004F4109"/>
    <w:rsid w:val="00500447"/>
    <w:rsid w:val="0050573C"/>
    <w:rsid w:val="005066B8"/>
    <w:rsid w:val="005144A6"/>
    <w:rsid w:val="00520B32"/>
    <w:rsid w:val="00520BC4"/>
    <w:rsid w:val="00523536"/>
    <w:rsid w:val="00525BD8"/>
    <w:rsid w:val="00526566"/>
    <w:rsid w:val="00526A7D"/>
    <w:rsid w:val="005307F0"/>
    <w:rsid w:val="00536167"/>
    <w:rsid w:val="00543049"/>
    <w:rsid w:val="00545D6F"/>
    <w:rsid w:val="005472CA"/>
    <w:rsid w:val="00554D0D"/>
    <w:rsid w:val="00560695"/>
    <w:rsid w:val="00565267"/>
    <w:rsid w:val="005656B9"/>
    <w:rsid w:val="00571AA4"/>
    <w:rsid w:val="005725A1"/>
    <w:rsid w:val="0057510F"/>
    <w:rsid w:val="0058467E"/>
    <w:rsid w:val="00584A5F"/>
    <w:rsid w:val="005A01B3"/>
    <w:rsid w:val="005A1B82"/>
    <w:rsid w:val="005A38F2"/>
    <w:rsid w:val="005A77B0"/>
    <w:rsid w:val="005B04CA"/>
    <w:rsid w:val="005B1F35"/>
    <w:rsid w:val="005B4E64"/>
    <w:rsid w:val="005B519D"/>
    <w:rsid w:val="005B6123"/>
    <w:rsid w:val="005B6598"/>
    <w:rsid w:val="005C19E7"/>
    <w:rsid w:val="005C1D00"/>
    <w:rsid w:val="005C461A"/>
    <w:rsid w:val="005C47A6"/>
    <w:rsid w:val="005D6557"/>
    <w:rsid w:val="005E072A"/>
    <w:rsid w:val="005E1D8F"/>
    <w:rsid w:val="005E5516"/>
    <w:rsid w:val="005F0BDF"/>
    <w:rsid w:val="005F471F"/>
    <w:rsid w:val="0060753A"/>
    <w:rsid w:val="00610A6F"/>
    <w:rsid w:val="00610E02"/>
    <w:rsid w:val="006116A1"/>
    <w:rsid w:val="006155BC"/>
    <w:rsid w:val="00616F57"/>
    <w:rsid w:val="006219F4"/>
    <w:rsid w:val="00621AA5"/>
    <w:rsid w:val="00622C60"/>
    <w:rsid w:val="00630394"/>
    <w:rsid w:val="00630F7E"/>
    <w:rsid w:val="006338C6"/>
    <w:rsid w:val="00642DC5"/>
    <w:rsid w:val="006453F1"/>
    <w:rsid w:val="00647158"/>
    <w:rsid w:val="00651274"/>
    <w:rsid w:val="00651803"/>
    <w:rsid w:val="00660043"/>
    <w:rsid w:val="006605F4"/>
    <w:rsid w:val="0066291D"/>
    <w:rsid w:val="00664934"/>
    <w:rsid w:val="006657AB"/>
    <w:rsid w:val="00671F5E"/>
    <w:rsid w:val="006744CA"/>
    <w:rsid w:val="00676277"/>
    <w:rsid w:val="006801D1"/>
    <w:rsid w:val="00682B05"/>
    <w:rsid w:val="00685A62"/>
    <w:rsid w:val="0068670A"/>
    <w:rsid w:val="006927C8"/>
    <w:rsid w:val="0069326E"/>
    <w:rsid w:val="00693714"/>
    <w:rsid w:val="00695505"/>
    <w:rsid w:val="006976A5"/>
    <w:rsid w:val="0069770A"/>
    <w:rsid w:val="00697FDA"/>
    <w:rsid w:val="006A272E"/>
    <w:rsid w:val="006A3B08"/>
    <w:rsid w:val="006A4B5D"/>
    <w:rsid w:val="006A789C"/>
    <w:rsid w:val="006B0D39"/>
    <w:rsid w:val="006B5461"/>
    <w:rsid w:val="006C5B7D"/>
    <w:rsid w:val="006D1E39"/>
    <w:rsid w:val="006D356B"/>
    <w:rsid w:val="006D39F2"/>
    <w:rsid w:val="006E1632"/>
    <w:rsid w:val="006E4512"/>
    <w:rsid w:val="006E6C76"/>
    <w:rsid w:val="006F0B2A"/>
    <w:rsid w:val="006F120E"/>
    <w:rsid w:val="006F3BE5"/>
    <w:rsid w:val="006F441C"/>
    <w:rsid w:val="007029F1"/>
    <w:rsid w:val="00704AAA"/>
    <w:rsid w:val="007068A8"/>
    <w:rsid w:val="00713FFC"/>
    <w:rsid w:val="007205A6"/>
    <w:rsid w:val="007220D1"/>
    <w:rsid w:val="007221E8"/>
    <w:rsid w:val="00722CAA"/>
    <w:rsid w:val="00725D35"/>
    <w:rsid w:val="0072777D"/>
    <w:rsid w:val="00730D23"/>
    <w:rsid w:val="00742C38"/>
    <w:rsid w:val="007436A8"/>
    <w:rsid w:val="007438B7"/>
    <w:rsid w:val="007475FF"/>
    <w:rsid w:val="007552E2"/>
    <w:rsid w:val="007560D1"/>
    <w:rsid w:val="00764517"/>
    <w:rsid w:val="0076612D"/>
    <w:rsid w:val="00773559"/>
    <w:rsid w:val="007752ED"/>
    <w:rsid w:val="00775D25"/>
    <w:rsid w:val="00777C51"/>
    <w:rsid w:val="00777DB5"/>
    <w:rsid w:val="00782F3A"/>
    <w:rsid w:val="00785E71"/>
    <w:rsid w:val="007860CA"/>
    <w:rsid w:val="00786E8F"/>
    <w:rsid w:val="00792AC4"/>
    <w:rsid w:val="00793335"/>
    <w:rsid w:val="00794F17"/>
    <w:rsid w:val="0079551C"/>
    <w:rsid w:val="00796B55"/>
    <w:rsid w:val="007A45B9"/>
    <w:rsid w:val="007A6438"/>
    <w:rsid w:val="007A6B23"/>
    <w:rsid w:val="007B0D7D"/>
    <w:rsid w:val="007B1F08"/>
    <w:rsid w:val="007B485F"/>
    <w:rsid w:val="007B5122"/>
    <w:rsid w:val="007B521E"/>
    <w:rsid w:val="007B5A72"/>
    <w:rsid w:val="007C0AB4"/>
    <w:rsid w:val="007C1431"/>
    <w:rsid w:val="007C2BA3"/>
    <w:rsid w:val="007E2B09"/>
    <w:rsid w:val="007E37DD"/>
    <w:rsid w:val="007E7AC8"/>
    <w:rsid w:val="007E7B21"/>
    <w:rsid w:val="007F797D"/>
    <w:rsid w:val="00802C60"/>
    <w:rsid w:val="00803506"/>
    <w:rsid w:val="00803F2A"/>
    <w:rsid w:val="00811C3D"/>
    <w:rsid w:val="00812EC3"/>
    <w:rsid w:val="00815460"/>
    <w:rsid w:val="0081586E"/>
    <w:rsid w:val="0081728A"/>
    <w:rsid w:val="00820E3D"/>
    <w:rsid w:val="008269A4"/>
    <w:rsid w:val="0082783C"/>
    <w:rsid w:val="008309FB"/>
    <w:rsid w:val="008408D2"/>
    <w:rsid w:val="008451D9"/>
    <w:rsid w:val="008506B5"/>
    <w:rsid w:val="00851403"/>
    <w:rsid w:val="00857B80"/>
    <w:rsid w:val="00861B52"/>
    <w:rsid w:val="00865F81"/>
    <w:rsid w:val="008662B9"/>
    <w:rsid w:val="00870CAA"/>
    <w:rsid w:val="00874D2C"/>
    <w:rsid w:val="00876CB4"/>
    <w:rsid w:val="008773DD"/>
    <w:rsid w:val="00881AE9"/>
    <w:rsid w:val="0088490F"/>
    <w:rsid w:val="00884D78"/>
    <w:rsid w:val="0088541A"/>
    <w:rsid w:val="00890DA7"/>
    <w:rsid w:val="00897AA5"/>
    <w:rsid w:val="00897BFE"/>
    <w:rsid w:val="00897D66"/>
    <w:rsid w:val="008A3B5F"/>
    <w:rsid w:val="008B3E9C"/>
    <w:rsid w:val="008B4422"/>
    <w:rsid w:val="008C1DD8"/>
    <w:rsid w:val="008C36E0"/>
    <w:rsid w:val="008D130E"/>
    <w:rsid w:val="008D1426"/>
    <w:rsid w:val="008D174D"/>
    <w:rsid w:val="008D5CB6"/>
    <w:rsid w:val="008D7159"/>
    <w:rsid w:val="008E1A59"/>
    <w:rsid w:val="008E1FFA"/>
    <w:rsid w:val="008E5E1A"/>
    <w:rsid w:val="008E6512"/>
    <w:rsid w:val="008E7DDD"/>
    <w:rsid w:val="00906AC1"/>
    <w:rsid w:val="0091068E"/>
    <w:rsid w:val="00911BF5"/>
    <w:rsid w:val="00913371"/>
    <w:rsid w:val="0091660D"/>
    <w:rsid w:val="0092000E"/>
    <w:rsid w:val="00920224"/>
    <w:rsid w:val="00921588"/>
    <w:rsid w:val="00923C1F"/>
    <w:rsid w:val="00924317"/>
    <w:rsid w:val="00927FFD"/>
    <w:rsid w:val="009378A0"/>
    <w:rsid w:val="00937A6C"/>
    <w:rsid w:val="00940A7A"/>
    <w:rsid w:val="00941D48"/>
    <w:rsid w:val="0094236E"/>
    <w:rsid w:val="00943D7B"/>
    <w:rsid w:val="00946372"/>
    <w:rsid w:val="00947B5A"/>
    <w:rsid w:val="00947F66"/>
    <w:rsid w:val="00953C35"/>
    <w:rsid w:val="00953DB1"/>
    <w:rsid w:val="00954562"/>
    <w:rsid w:val="00954F06"/>
    <w:rsid w:val="00955F55"/>
    <w:rsid w:val="00956336"/>
    <w:rsid w:val="0095733A"/>
    <w:rsid w:val="00957508"/>
    <w:rsid w:val="009633D1"/>
    <w:rsid w:val="00970D55"/>
    <w:rsid w:val="00971C84"/>
    <w:rsid w:val="0097406A"/>
    <w:rsid w:val="009768A5"/>
    <w:rsid w:val="00980367"/>
    <w:rsid w:val="009805A8"/>
    <w:rsid w:val="00983065"/>
    <w:rsid w:val="00983EAB"/>
    <w:rsid w:val="00984775"/>
    <w:rsid w:val="00990690"/>
    <w:rsid w:val="0099317F"/>
    <w:rsid w:val="00993C04"/>
    <w:rsid w:val="009A056C"/>
    <w:rsid w:val="009A255D"/>
    <w:rsid w:val="009A5AC5"/>
    <w:rsid w:val="009B3C51"/>
    <w:rsid w:val="009C3A9A"/>
    <w:rsid w:val="009C4BF9"/>
    <w:rsid w:val="009C572C"/>
    <w:rsid w:val="009C5D8D"/>
    <w:rsid w:val="009C6D2A"/>
    <w:rsid w:val="009C76FE"/>
    <w:rsid w:val="009D4ED7"/>
    <w:rsid w:val="009D6E50"/>
    <w:rsid w:val="009D6EDE"/>
    <w:rsid w:val="009D78F9"/>
    <w:rsid w:val="009E27C9"/>
    <w:rsid w:val="009E2F9C"/>
    <w:rsid w:val="009F5E4E"/>
    <w:rsid w:val="009F6DE4"/>
    <w:rsid w:val="009F786C"/>
    <w:rsid w:val="00A049E4"/>
    <w:rsid w:val="00A05FA6"/>
    <w:rsid w:val="00A10A8C"/>
    <w:rsid w:val="00A137E3"/>
    <w:rsid w:val="00A143EB"/>
    <w:rsid w:val="00A144B5"/>
    <w:rsid w:val="00A15948"/>
    <w:rsid w:val="00A20463"/>
    <w:rsid w:val="00A215BD"/>
    <w:rsid w:val="00A22A78"/>
    <w:rsid w:val="00A24E15"/>
    <w:rsid w:val="00A32D91"/>
    <w:rsid w:val="00A34A70"/>
    <w:rsid w:val="00A37438"/>
    <w:rsid w:val="00A42F2A"/>
    <w:rsid w:val="00A43D6F"/>
    <w:rsid w:val="00A562F6"/>
    <w:rsid w:val="00A6464B"/>
    <w:rsid w:val="00A65449"/>
    <w:rsid w:val="00A70EC8"/>
    <w:rsid w:val="00A73B9B"/>
    <w:rsid w:val="00A76091"/>
    <w:rsid w:val="00A810A9"/>
    <w:rsid w:val="00A81B3B"/>
    <w:rsid w:val="00A84D93"/>
    <w:rsid w:val="00A9256C"/>
    <w:rsid w:val="00A931AB"/>
    <w:rsid w:val="00A93B96"/>
    <w:rsid w:val="00A94490"/>
    <w:rsid w:val="00AA3AB1"/>
    <w:rsid w:val="00AA3E1D"/>
    <w:rsid w:val="00AA4665"/>
    <w:rsid w:val="00AA4BB2"/>
    <w:rsid w:val="00AA577A"/>
    <w:rsid w:val="00AA5CD1"/>
    <w:rsid w:val="00AB1938"/>
    <w:rsid w:val="00AC0593"/>
    <w:rsid w:val="00AC0617"/>
    <w:rsid w:val="00AC16A1"/>
    <w:rsid w:val="00AC2B98"/>
    <w:rsid w:val="00AC57C3"/>
    <w:rsid w:val="00AD58AF"/>
    <w:rsid w:val="00AD5FCD"/>
    <w:rsid w:val="00AD6D59"/>
    <w:rsid w:val="00AE3ED9"/>
    <w:rsid w:val="00AF2B0E"/>
    <w:rsid w:val="00AF2E2C"/>
    <w:rsid w:val="00AF55A1"/>
    <w:rsid w:val="00AF5DF3"/>
    <w:rsid w:val="00B066BF"/>
    <w:rsid w:val="00B06C0F"/>
    <w:rsid w:val="00B071D3"/>
    <w:rsid w:val="00B17EA9"/>
    <w:rsid w:val="00B25DC7"/>
    <w:rsid w:val="00B269D6"/>
    <w:rsid w:val="00B3161F"/>
    <w:rsid w:val="00B32C8C"/>
    <w:rsid w:val="00B34681"/>
    <w:rsid w:val="00B34A65"/>
    <w:rsid w:val="00B37EDD"/>
    <w:rsid w:val="00B416F7"/>
    <w:rsid w:val="00B42E82"/>
    <w:rsid w:val="00B43677"/>
    <w:rsid w:val="00B43696"/>
    <w:rsid w:val="00B511DC"/>
    <w:rsid w:val="00B51762"/>
    <w:rsid w:val="00B532A6"/>
    <w:rsid w:val="00B55900"/>
    <w:rsid w:val="00B64988"/>
    <w:rsid w:val="00B64FB6"/>
    <w:rsid w:val="00B65D70"/>
    <w:rsid w:val="00B67C0C"/>
    <w:rsid w:val="00B771F6"/>
    <w:rsid w:val="00B80003"/>
    <w:rsid w:val="00B8051B"/>
    <w:rsid w:val="00B812D1"/>
    <w:rsid w:val="00B85B1C"/>
    <w:rsid w:val="00B85B32"/>
    <w:rsid w:val="00B9363C"/>
    <w:rsid w:val="00B96856"/>
    <w:rsid w:val="00BA1B72"/>
    <w:rsid w:val="00BA1DE9"/>
    <w:rsid w:val="00BB0616"/>
    <w:rsid w:val="00BB1883"/>
    <w:rsid w:val="00BB2188"/>
    <w:rsid w:val="00BB5E37"/>
    <w:rsid w:val="00BB71E2"/>
    <w:rsid w:val="00BC3CEE"/>
    <w:rsid w:val="00BC4BE9"/>
    <w:rsid w:val="00BC60A1"/>
    <w:rsid w:val="00BC6FD2"/>
    <w:rsid w:val="00BC7E4F"/>
    <w:rsid w:val="00BD11CD"/>
    <w:rsid w:val="00BD2560"/>
    <w:rsid w:val="00BD37A2"/>
    <w:rsid w:val="00BD4847"/>
    <w:rsid w:val="00BD5B92"/>
    <w:rsid w:val="00BD5C6B"/>
    <w:rsid w:val="00BD61DE"/>
    <w:rsid w:val="00BF3CA9"/>
    <w:rsid w:val="00BF6D84"/>
    <w:rsid w:val="00C00E8D"/>
    <w:rsid w:val="00C01779"/>
    <w:rsid w:val="00C025B9"/>
    <w:rsid w:val="00C07B32"/>
    <w:rsid w:val="00C14458"/>
    <w:rsid w:val="00C14E66"/>
    <w:rsid w:val="00C22BE3"/>
    <w:rsid w:val="00C30220"/>
    <w:rsid w:val="00C351CC"/>
    <w:rsid w:val="00C36151"/>
    <w:rsid w:val="00C363C0"/>
    <w:rsid w:val="00C36A69"/>
    <w:rsid w:val="00C42427"/>
    <w:rsid w:val="00C447FA"/>
    <w:rsid w:val="00C46EA3"/>
    <w:rsid w:val="00C5169C"/>
    <w:rsid w:val="00C51710"/>
    <w:rsid w:val="00C54ECA"/>
    <w:rsid w:val="00C556F5"/>
    <w:rsid w:val="00C57B74"/>
    <w:rsid w:val="00C6070E"/>
    <w:rsid w:val="00C629D6"/>
    <w:rsid w:val="00C63331"/>
    <w:rsid w:val="00C63A5D"/>
    <w:rsid w:val="00C648C6"/>
    <w:rsid w:val="00C6607E"/>
    <w:rsid w:val="00C74060"/>
    <w:rsid w:val="00C756C0"/>
    <w:rsid w:val="00C8178E"/>
    <w:rsid w:val="00C84341"/>
    <w:rsid w:val="00C86FE7"/>
    <w:rsid w:val="00C92B1A"/>
    <w:rsid w:val="00C934A0"/>
    <w:rsid w:val="00C941BB"/>
    <w:rsid w:val="00C97141"/>
    <w:rsid w:val="00C97533"/>
    <w:rsid w:val="00C97F1C"/>
    <w:rsid w:val="00CA0FD1"/>
    <w:rsid w:val="00CA5E3C"/>
    <w:rsid w:val="00CB4096"/>
    <w:rsid w:val="00CB5D16"/>
    <w:rsid w:val="00CC2988"/>
    <w:rsid w:val="00CC2B78"/>
    <w:rsid w:val="00CC436B"/>
    <w:rsid w:val="00CC7A72"/>
    <w:rsid w:val="00CD405C"/>
    <w:rsid w:val="00CD4320"/>
    <w:rsid w:val="00CD5261"/>
    <w:rsid w:val="00CD6070"/>
    <w:rsid w:val="00CE06A8"/>
    <w:rsid w:val="00CE7C0D"/>
    <w:rsid w:val="00CF2C43"/>
    <w:rsid w:val="00CF2E8D"/>
    <w:rsid w:val="00CF4159"/>
    <w:rsid w:val="00CF66A1"/>
    <w:rsid w:val="00CF7950"/>
    <w:rsid w:val="00D01C96"/>
    <w:rsid w:val="00D04B08"/>
    <w:rsid w:val="00D07219"/>
    <w:rsid w:val="00D102F4"/>
    <w:rsid w:val="00D11CD7"/>
    <w:rsid w:val="00D13185"/>
    <w:rsid w:val="00D156F4"/>
    <w:rsid w:val="00D17E9C"/>
    <w:rsid w:val="00D22D09"/>
    <w:rsid w:val="00D250F6"/>
    <w:rsid w:val="00D25C27"/>
    <w:rsid w:val="00D274DA"/>
    <w:rsid w:val="00D3336A"/>
    <w:rsid w:val="00D33ACD"/>
    <w:rsid w:val="00D33BE9"/>
    <w:rsid w:val="00D34EAA"/>
    <w:rsid w:val="00D42B00"/>
    <w:rsid w:val="00D44BC4"/>
    <w:rsid w:val="00D518C9"/>
    <w:rsid w:val="00D60354"/>
    <w:rsid w:val="00D642AC"/>
    <w:rsid w:val="00D65471"/>
    <w:rsid w:val="00D6581A"/>
    <w:rsid w:val="00D668F0"/>
    <w:rsid w:val="00D70E42"/>
    <w:rsid w:val="00D73EF4"/>
    <w:rsid w:val="00D755C0"/>
    <w:rsid w:val="00D75BA2"/>
    <w:rsid w:val="00D805C7"/>
    <w:rsid w:val="00D807BD"/>
    <w:rsid w:val="00D8088F"/>
    <w:rsid w:val="00D83E71"/>
    <w:rsid w:val="00D879CB"/>
    <w:rsid w:val="00D92C97"/>
    <w:rsid w:val="00D9387C"/>
    <w:rsid w:val="00D96CD3"/>
    <w:rsid w:val="00DA14BF"/>
    <w:rsid w:val="00DA214B"/>
    <w:rsid w:val="00DA3241"/>
    <w:rsid w:val="00DA6847"/>
    <w:rsid w:val="00DA69C4"/>
    <w:rsid w:val="00DB175D"/>
    <w:rsid w:val="00DB75F8"/>
    <w:rsid w:val="00DC0D34"/>
    <w:rsid w:val="00DC3F3E"/>
    <w:rsid w:val="00DC75E8"/>
    <w:rsid w:val="00DD0B50"/>
    <w:rsid w:val="00DD1E1A"/>
    <w:rsid w:val="00DD6245"/>
    <w:rsid w:val="00DD6F66"/>
    <w:rsid w:val="00DE06A8"/>
    <w:rsid w:val="00DE110F"/>
    <w:rsid w:val="00DE11B7"/>
    <w:rsid w:val="00E01E67"/>
    <w:rsid w:val="00E04CE1"/>
    <w:rsid w:val="00E04F81"/>
    <w:rsid w:val="00E13900"/>
    <w:rsid w:val="00E22ADD"/>
    <w:rsid w:val="00E23D80"/>
    <w:rsid w:val="00E31EF9"/>
    <w:rsid w:val="00E33AB0"/>
    <w:rsid w:val="00E40A9C"/>
    <w:rsid w:val="00E4178A"/>
    <w:rsid w:val="00E41E50"/>
    <w:rsid w:val="00E42048"/>
    <w:rsid w:val="00E42936"/>
    <w:rsid w:val="00E42A09"/>
    <w:rsid w:val="00E43979"/>
    <w:rsid w:val="00E50B03"/>
    <w:rsid w:val="00E52450"/>
    <w:rsid w:val="00E61DE1"/>
    <w:rsid w:val="00E64089"/>
    <w:rsid w:val="00E64C3F"/>
    <w:rsid w:val="00E80166"/>
    <w:rsid w:val="00E817D4"/>
    <w:rsid w:val="00E824AB"/>
    <w:rsid w:val="00E846A9"/>
    <w:rsid w:val="00E856B5"/>
    <w:rsid w:val="00E91628"/>
    <w:rsid w:val="00E91A02"/>
    <w:rsid w:val="00E941B5"/>
    <w:rsid w:val="00EA2CAF"/>
    <w:rsid w:val="00EA5B4E"/>
    <w:rsid w:val="00EA5BB7"/>
    <w:rsid w:val="00EA6CA9"/>
    <w:rsid w:val="00EB62DD"/>
    <w:rsid w:val="00EB7BB6"/>
    <w:rsid w:val="00EC01E3"/>
    <w:rsid w:val="00EC2061"/>
    <w:rsid w:val="00EC25B3"/>
    <w:rsid w:val="00EC3E67"/>
    <w:rsid w:val="00EC53D6"/>
    <w:rsid w:val="00EC7E83"/>
    <w:rsid w:val="00ED11BF"/>
    <w:rsid w:val="00ED2B89"/>
    <w:rsid w:val="00ED2C08"/>
    <w:rsid w:val="00ED4318"/>
    <w:rsid w:val="00EE5F83"/>
    <w:rsid w:val="00EE6820"/>
    <w:rsid w:val="00EF0326"/>
    <w:rsid w:val="00EF0EAD"/>
    <w:rsid w:val="00EF57AE"/>
    <w:rsid w:val="00F00689"/>
    <w:rsid w:val="00F02369"/>
    <w:rsid w:val="00F06063"/>
    <w:rsid w:val="00F10CA4"/>
    <w:rsid w:val="00F13479"/>
    <w:rsid w:val="00F339FB"/>
    <w:rsid w:val="00F4165F"/>
    <w:rsid w:val="00F458C6"/>
    <w:rsid w:val="00F507E1"/>
    <w:rsid w:val="00F5105E"/>
    <w:rsid w:val="00F51DBA"/>
    <w:rsid w:val="00F55BAF"/>
    <w:rsid w:val="00F63B02"/>
    <w:rsid w:val="00F75339"/>
    <w:rsid w:val="00F75962"/>
    <w:rsid w:val="00F8123B"/>
    <w:rsid w:val="00F83B7A"/>
    <w:rsid w:val="00F84B09"/>
    <w:rsid w:val="00F91ADD"/>
    <w:rsid w:val="00F93364"/>
    <w:rsid w:val="00F9567B"/>
    <w:rsid w:val="00F95DFE"/>
    <w:rsid w:val="00FA1A7E"/>
    <w:rsid w:val="00FA28A9"/>
    <w:rsid w:val="00FA391F"/>
    <w:rsid w:val="00FA561A"/>
    <w:rsid w:val="00FA5EC6"/>
    <w:rsid w:val="00FA753E"/>
    <w:rsid w:val="00FB2D35"/>
    <w:rsid w:val="00FB366D"/>
    <w:rsid w:val="00FB6050"/>
    <w:rsid w:val="00FB644C"/>
    <w:rsid w:val="00FC3949"/>
    <w:rsid w:val="00FC40CF"/>
    <w:rsid w:val="00FD2049"/>
    <w:rsid w:val="00FD2321"/>
    <w:rsid w:val="00FD334E"/>
    <w:rsid w:val="00FD6B6E"/>
    <w:rsid w:val="00FD74C9"/>
    <w:rsid w:val="00FD7604"/>
    <w:rsid w:val="00FE684D"/>
    <w:rsid w:val="00FE78CC"/>
    <w:rsid w:val="00FF2BC4"/>
    <w:rsid w:val="00FF719B"/>
    <w:rsid w:val="013F7428"/>
    <w:rsid w:val="01EC21A6"/>
    <w:rsid w:val="023A57DD"/>
    <w:rsid w:val="033B42BA"/>
    <w:rsid w:val="03B9751C"/>
    <w:rsid w:val="05240B98"/>
    <w:rsid w:val="053C6133"/>
    <w:rsid w:val="0804176E"/>
    <w:rsid w:val="08E517F8"/>
    <w:rsid w:val="0A7A6BC0"/>
    <w:rsid w:val="0BA46062"/>
    <w:rsid w:val="0BA72BE1"/>
    <w:rsid w:val="0C4B73D6"/>
    <w:rsid w:val="0D9C16DB"/>
    <w:rsid w:val="0FD92F26"/>
    <w:rsid w:val="139B3CF8"/>
    <w:rsid w:val="14A0014D"/>
    <w:rsid w:val="14BE0DE4"/>
    <w:rsid w:val="152E7AED"/>
    <w:rsid w:val="176A4DBE"/>
    <w:rsid w:val="1A965174"/>
    <w:rsid w:val="1CC0284F"/>
    <w:rsid w:val="1D6D0564"/>
    <w:rsid w:val="1E433421"/>
    <w:rsid w:val="1E547934"/>
    <w:rsid w:val="1F9B06B8"/>
    <w:rsid w:val="21E3484B"/>
    <w:rsid w:val="22E30612"/>
    <w:rsid w:val="232363B0"/>
    <w:rsid w:val="2442417C"/>
    <w:rsid w:val="26530626"/>
    <w:rsid w:val="268E73BB"/>
    <w:rsid w:val="27E11194"/>
    <w:rsid w:val="2D3864A8"/>
    <w:rsid w:val="2D712065"/>
    <w:rsid w:val="2EAA17C9"/>
    <w:rsid w:val="302552AB"/>
    <w:rsid w:val="312016F0"/>
    <w:rsid w:val="33673AFF"/>
    <w:rsid w:val="33D03EAF"/>
    <w:rsid w:val="33F25433"/>
    <w:rsid w:val="34702F34"/>
    <w:rsid w:val="34AD361E"/>
    <w:rsid w:val="356E686E"/>
    <w:rsid w:val="36D978F5"/>
    <w:rsid w:val="37381907"/>
    <w:rsid w:val="37C039CC"/>
    <w:rsid w:val="37D23929"/>
    <w:rsid w:val="38622DAE"/>
    <w:rsid w:val="391108EA"/>
    <w:rsid w:val="3C5F6EE2"/>
    <w:rsid w:val="3D632986"/>
    <w:rsid w:val="3D956A0C"/>
    <w:rsid w:val="3DB55BF7"/>
    <w:rsid w:val="43107A7E"/>
    <w:rsid w:val="43324D9F"/>
    <w:rsid w:val="46D22AD0"/>
    <w:rsid w:val="47CA552A"/>
    <w:rsid w:val="4AA22801"/>
    <w:rsid w:val="4B303511"/>
    <w:rsid w:val="4C365AB2"/>
    <w:rsid w:val="4D6E5929"/>
    <w:rsid w:val="4D700DB0"/>
    <w:rsid w:val="4DA91384"/>
    <w:rsid w:val="4FB762AC"/>
    <w:rsid w:val="50837108"/>
    <w:rsid w:val="519158FF"/>
    <w:rsid w:val="51EA1588"/>
    <w:rsid w:val="532F6A9A"/>
    <w:rsid w:val="53AF2455"/>
    <w:rsid w:val="5DDA009F"/>
    <w:rsid w:val="5DEF7093"/>
    <w:rsid w:val="5E0B33F0"/>
    <w:rsid w:val="5EB35A4E"/>
    <w:rsid w:val="6021504C"/>
    <w:rsid w:val="6230089D"/>
    <w:rsid w:val="62B87660"/>
    <w:rsid w:val="657E4935"/>
    <w:rsid w:val="65A311A4"/>
    <w:rsid w:val="66FA60C7"/>
    <w:rsid w:val="67D52942"/>
    <w:rsid w:val="68A939C7"/>
    <w:rsid w:val="6AF5018F"/>
    <w:rsid w:val="6BB75E68"/>
    <w:rsid w:val="6C9A5D59"/>
    <w:rsid w:val="6D707658"/>
    <w:rsid w:val="6E3137AF"/>
    <w:rsid w:val="6FAC1651"/>
    <w:rsid w:val="6FF55349"/>
    <w:rsid w:val="709566A9"/>
    <w:rsid w:val="70A06E48"/>
    <w:rsid w:val="730111E7"/>
    <w:rsid w:val="74D52217"/>
    <w:rsid w:val="77480E91"/>
    <w:rsid w:val="78556E25"/>
    <w:rsid w:val="78A45638"/>
    <w:rsid w:val="7AC46943"/>
    <w:rsid w:val="7DC7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727DB"/>
  <w15:docId w15:val="{F32CAB93-6F7B-4091-8AE1-03B50BD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unhideWhenUsed/>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uiPriority w:val="9"/>
    <w:qFormat/>
    <w:pPr>
      <w:keepNext/>
      <w:topLinePunct/>
      <w:adjustRightInd w:val="0"/>
      <w:snapToGrid w:val="0"/>
      <w:spacing w:beforeLines="125" w:afterLines="125"/>
      <w:ind w:firstLine="510"/>
      <w:outlineLvl w:val="2"/>
    </w:pPr>
    <w:rPr>
      <w:rFonts w:ascii="Times New Roman" w:eastAsia="黑体" w:hAnsi="Times New Roman"/>
      <w:b/>
      <w:bCs/>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rPr>
      <w:rFonts w:ascii="Calibri" w:eastAsia="宋体" w:hAnsi="Calibri"/>
    </w:rPr>
  </w:style>
  <w:style w:type="paragraph" w:styleId="a7">
    <w:name w:val="Document Map"/>
    <w:basedOn w:val="a"/>
    <w:link w:val="a8"/>
    <w:uiPriority w:val="99"/>
    <w:unhideWhenUsed/>
    <w:qFormat/>
    <w:rPr>
      <w:rFonts w:ascii="宋体" w:eastAsia="宋体"/>
      <w:sz w:val="18"/>
      <w:szCs w:val="18"/>
    </w:rPr>
  </w:style>
  <w:style w:type="paragraph" w:styleId="a9">
    <w:name w:val="Plain Text"/>
    <w:basedOn w:val="a"/>
    <w:link w:val="11"/>
    <w:qFormat/>
    <w:rPr>
      <w:rFonts w:ascii="宋体" w:eastAsia="宋体" w:hAnsi="Courier New" w:cs="Courier New"/>
      <w:szCs w:val="21"/>
    </w:rPr>
  </w:style>
  <w:style w:type="paragraph" w:styleId="aa">
    <w:name w:val="Balloon Text"/>
    <w:basedOn w:val="a"/>
    <w:link w:val="ab"/>
    <w:uiPriority w:val="99"/>
    <w:unhideWhenUsed/>
    <w:qFormat/>
    <w:pPr>
      <w:widowControl/>
      <w:adjustRightInd w:val="0"/>
      <w:snapToGrid w:val="0"/>
      <w:jc w:val="left"/>
    </w:pPr>
    <w:rPr>
      <w:rFonts w:ascii="Tahoma" w:eastAsia="微软雅黑" w:hAnsi="Tahoma"/>
      <w:kern w:val="0"/>
      <w:sz w:val="18"/>
      <w:szCs w:val="18"/>
    </w:rPr>
  </w:style>
  <w:style w:type="paragraph" w:styleId="ac">
    <w:name w:val="footer"/>
    <w:basedOn w:val="a"/>
    <w:link w:val="ad"/>
    <w:uiPriority w:val="99"/>
    <w:unhideWhenUsed/>
    <w:qFormat/>
    <w:pPr>
      <w:widowControl/>
      <w:tabs>
        <w:tab w:val="center" w:pos="4153"/>
        <w:tab w:val="right" w:pos="8306"/>
      </w:tabs>
      <w:adjustRightInd w:val="0"/>
      <w:snapToGrid w:val="0"/>
      <w:spacing w:after="200"/>
      <w:jc w:val="left"/>
    </w:pPr>
    <w:rPr>
      <w:rFonts w:ascii="Tahoma" w:eastAsia="微软雅黑" w:hAnsi="Tahoma"/>
      <w:kern w:val="0"/>
      <w:sz w:val="18"/>
      <w:szCs w:val="18"/>
    </w:rPr>
  </w:style>
  <w:style w:type="paragraph" w:styleId="ae">
    <w:name w:val="header"/>
    <w:basedOn w:val="a"/>
    <w:link w:val="af"/>
    <w:uiPriority w:val="99"/>
    <w:unhideWhenUsed/>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paragraph" w:styleId="af0">
    <w:name w:val="Normal (Web)"/>
    <w:basedOn w:val="a"/>
    <w:uiPriority w:val="99"/>
    <w:unhideWhenUsed/>
    <w:qFormat/>
    <w:pPr>
      <w:jc w:val="left"/>
    </w:pPr>
    <w:rPr>
      <w:kern w:val="0"/>
      <w:sz w:val="24"/>
    </w:rPr>
  </w:style>
  <w:style w:type="character" w:styleId="af1">
    <w:name w:val="Strong"/>
    <w:basedOn w:val="a0"/>
    <w:uiPriority w:val="22"/>
    <w:qFormat/>
    <w:rPr>
      <w:b/>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unhideWhenUsed/>
    <w:qFormat/>
    <w:rPr>
      <w:sz w:val="21"/>
      <w:szCs w:val="21"/>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事项名称"/>
    <w:basedOn w:val="a"/>
    <w:next w:val="a"/>
    <w:link w:val="af6"/>
    <w:qFormat/>
    <w:pPr>
      <w:adjustRightInd w:val="0"/>
      <w:snapToGrid w:val="0"/>
      <w:spacing w:line="360" w:lineRule="auto"/>
      <w:ind w:firstLineChars="200" w:firstLine="480"/>
    </w:pPr>
    <w:rPr>
      <w:rFonts w:ascii="黑体" w:eastAsia="黑体" w:hAnsi="黑体"/>
      <w:bCs/>
      <w:sz w:val="24"/>
      <w:szCs w:val="24"/>
    </w:rPr>
  </w:style>
  <w:style w:type="paragraph" w:customStyle="1" w:styleId="20">
    <w:name w:val="样式2"/>
    <w:basedOn w:val="a"/>
    <w:qFormat/>
    <w:pPr>
      <w:topLinePunct/>
      <w:snapToGrid w:val="0"/>
      <w:spacing w:beforeLines="15" w:afterLines="15"/>
      <w:jc w:val="center"/>
    </w:pPr>
    <w:rPr>
      <w:color w:val="000000"/>
      <w:sz w:val="18"/>
      <w:szCs w:val="18"/>
    </w:rPr>
  </w:style>
  <w:style w:type="paragraph" w:customStyle="1" w:styleId="af7">
    <w:name w:val="政策依据"/>
    <w:basedOn w:val="a"/>
    <w:link w:val="Char"/>
    <w:qFormat/>
    <w:pPr>
      <w:spacing w:line="460" w:lineRule="exact"/>
      <w:ind w:firstLineChars="200" w:firstLine="720"/>
    </w:pPr>
    <w:rPr>
      <w:rFonts w:ascii="Times New Roman" w:eastAsia="楷体" w:hAnsi="Times New Roman"/>
      <w:szCs w:val="21"/>
      <w:u w:val="single"/>
    </w:rPr>
  </w:style>
  <w:style w:type="paragraph" w:customStyle="1" w:styleId="af8">
    <w:name w:val="正文部分"/>
    <w:basedOn w:val="a"/>
    <w:link w:val="af9"/>
    <w:qFormat/>
    <w:pPr>
      <w:adjustRightInd w:val="0"/>
      <w:snapToGrid w:val="0"/>
      <w:spacing w:line="360" w:lineRule="auto"/>
      <w:ind w:firstLineChars="200" w:firstLine="480"/>
    </w:pPr>
    <w:rPr>
      <w:rFonts w:ascii="宋体" w:eastAsia="宋体" w:hAnsi="宋体"/>
      <w:sz w:val="24"/>
      <w:szCs w:val="24"/>
    </w:rPr>
  </w:style>
  <w:style w:type="paragraph" w:styleId="afa">
    <w:name w:val="List Paragraph"/>
    <w:basedOn w:val="a"/>
    <w:uiPriority w:val="99"/>
    <w:unhideWhenUsed/>
    <w:qFormat/>
    <w:pPr>
      <w:ind w:firstLineChars="200" w:firstLine="420"/>
    </w:pPr>
  </w:style>
  <w:style w:type="paragraph" w:customStyle="1" w:styleId="3sunshine">
    <w:name w:val="3 sunshine"/>
    <w:basedOn w:val="3"/>
    <w:link w:val="3sunshine0"/>
    <w:qFormat/>
    <w:pPr>
      <w:spacing w:beforeLines="100" w:afterLines="100" w:line="360" w:lineRule="auto"/>
      <w:ind w:firstLineChars="200" w:firstLine="562"/>
    </w:pPr>
  </w:style>
  <w:style w:type="paragraph" w:customStyle="1" w:styleId="12">
    <w:name w:val="修订1"/>
    <w:uiPriority w:val="99"/>
    <w:semiHidden/>
    <w:qFormat/>
    <w:rPr>
      <w:rFonts w:ascii="等线" w:eastAsia="等线" w:hAnsi="等线" w:cs="Times New Roman"/>
      <w:kern w:val="2"/>
      <w:sz w:val="21"/>
      <w:szCs w:val="22"/>
    </w:rPr>
  </w:style>
  <w:style w:type="paragraph" w:customStyle="1" w:styleId="13">
    <w:name w:val="目录1"/>
    <w:basedOn w:val="a"/>
    <w:qFormat/>
    <w:pPr>
      <w:tabs>
        <w:tab w:val="right" w:leader="dot" w:pos="8278"/>
      </w:tabs>
      <w:topLinePunct/>
      <w:adjustRightInd w:val="0"/>
    </w:pPr>
    <w:rPr>
      <w:rFonts w:ascii="黑体" w:eastAsia="黑体" w:hAnsi="Times New Roman"/>
      <w:kern w:val="24"/>
      <w:sz w:val="24"/>
      <w:szCs w:val="24"/>
    </w:rPr>
  </w:style>
  <w:style w:type="paragraph" w:customStyle="1" w:styleId="afb">
    <w:name w:val="正文正文"/>
    <w:basedOn w:val="a"/>
    <w:link w:val="afc"/>
    <w:qFormat/>
    <w:pPr>
      <w:adjustRightInd w:val="0"/>
      <w:snapToGrid w:val="0"/>
      <w:spacing w:line="360" w:lineRule="auto"/>
      <w:ind w:firstLineChars="200" w:firstLine="480"/>
    </w:pPr>
    <w:rPr>
      <w:rFonts w:ascii="宋体" w:eastAsia="宋体" w:hAnsi="宋体"/>
      <w:sz w:val="24"/>
      <w:szCs w:val="24"/>
    </w:rPr>
  </w:style>
  <w:style w:type="paragraph" w:customStyle="1" w:styleId="14">
    <w:name w:val="样式1【标准】"/>
    <w:basedOn w:val="1"/>
    <w:link w:val="15"/>
    <w:qFormat/>
    <w:pPr>
      <w:tabs>
        <w:tab w:val="center" w:pos="4153"/>
        <w:tab w:val="left" w:pos="6771"/>
      </w:tabs>
      <w:topLinePunct/>
      <w:autoSpaceDE w:val="0"/>
      <w:autoSpaceDN w:val="0"/>
      <w:adjustRightInd w:val="0"/>
      <w:spacing w:beforeLines="100" w:afterLines="100" w:line="360" w:lineRule="auto"/>
      <w:ind w:firstLineChars="200" w:firstLine="723"/>
      <w:jc w:val="center"/>
    </w:pPr>
    <w:rPr>
      <w:rFonts w:ascii="Times New Roman" w:eastAsia="黑体" w:hAnsi="Times New Roman"/>
      <w:bCs w:val="0"/>
      <w:kern w:val="24"/>
      <w:sz w:val="36"/>
      <w:szCs w:val="36"/>
    </w:rPr>
  </w:style>
  <w:style w:type="paragraph" w:customStyle="1" w:styleId="22">
    <w:name w:val="目录2"/>
    <w:basedOn w:val="a"/>
    <w:qFormat/>
    <w:pPr>
      <w:tabs>
        <w:tab w:val="right" w:leader="dot" w:pos="8278"/>
      </w:tabs>
      <w:topLinePunct/>
      <w:adjustRightInd w:val="0"/>
      <w:ind w:firstLine="397"/>
    </w:pPr>
    <w:rPr>
      <w:rFonts w:ascii="Arial" w:eastAsia="黑体" w:hAnsi="Arial"/>
      <w:kern w:val="24"/>
      <w:sz w:val="24"/>
      <w:szCs w:val="24"/>
    </w:rPr>
  </w:style>
  <w:style w:type="paragraph" w:customStyle="1" w:styleId="41XX">
    <w:name w:val="4.1 XX优惠"/>
    <w:basedOn w:val="2"/>
    <w:link w:val="41XX0"/>
    <w:qFormat/>
    <w:pPr>
      <w:topLinePunct/>
      <w:adjustRightInd w:val="0"/>
      <w:spacing w:before="660" w:line="240" w:lineRule="auto"/>
      <w:ind w:firstLine="510"/>
    </w:pPr>
    <w:rPr>
      <w:rFonts w:ascii="Arial" w:eastAsia="黑体" w:hAnsi="Arial"/>
      <w:kern w:val="24"/>
    </w:rPr>
  </w:style>
  <w:style w:type="paragraph" w:customStyle="1" w:styleId="31">
    <w:name w:val="目录3"/>
    <w:basedOn w:val="a"/>
    <w:qFormat/>
    <w:pPr>
      <w:tabs>
        <w:tab w:val="right" w:leader="dot" w:pos="8278"/>
      </w:tabs>
      <w:topLinePunct/>
      <w:adjustRightInd w:val="0"/>
      <w:ind w:left="964"/>
    </w:pPr>
    <w:rPr>
      <w:rFonts w:ascii="Times New Roman" w:eastAsia="方正兰亭黑_GBK" w:hAnsi="Times New Roman"/>
      <w:kern w:val="24"/>
      <w:sz w:val="24"/>
      <w:szCs w:val="24"/>
    </w:rPr>
  </w:style>
  <w:style w:type="paragraph" w:customStyle="1" w:styleId="afd">
    <w:name w:val="【事项名称】"/>
    <w:basedOn w:val="a"/>
    <w:qFormat/>
    <w:pPr>
      <w:adjustRightInd w:val="0"/>
      <w:snapToGrid w:val="0"/>
      <w:spacing w:line="360" w:lineRule="auto"/>
      <w:ind w:firstLineChars="200" w:firstLine="480"/>
    </w:pPr>
    <w:rPr>
      <w:rFonts w:ascii="黑体" w:eastAsia="黑体" w:hAnsi="黑体"/>
      <w:bCs/>
      <w:sz w:val="24"/>
      <w:szCs w:val="24"/>
    </w:rPr>
  </w:style>
  <w:style w:type="paragraph" w:customStyle="1" w:styleId="411XX">
    <w:name w:val="4.1.1 XX优惠"/>
    <w:basedOn w:val="3"/>
    <w:link w:val="411XX0"/>
    <w:qFormat/>
    <w:pPr>
      <w:spacing w:beforeLines="0" w:after="575"/>
    </w:pPr>
  </w:style>
  <w:style w:type="paragraph" w:customStyle="1" w:styleId="afe">
    <w:name w:val="【事项描】"/>
    <w:basedOn w:val="a"/>
    <w:link w:val="aff"/>
    <w:qFormat/>
    <w:pPr>
      <w:adjustRightInd w:val="0"/>
      <w:snapToGrid w:val="0"/>
      <w:spacing w:line="360" w:lineRule="auto"/>
      <w:ind w:firstLineChars="200" w:firstLine="482"/>
    </w:pPr>
    <w:rPr>
      <w:rFonts w:ascii="宋体" w:eastAsia="宋体" w:hAnsi="宋体"/>
      <w:b/>
      <w:sz w:val="24"/>
      <w:szCs w:val="24"/>
    </w:rPr>
  </w:style>
  <w:style w:type="paragraph" w:customStyle="1" w:styleId="Style30">
    <w:name w:val="_Style 30"/>
    <w:basedOn w:val="a"/>
    <w:next w:val="16"/>
    <w:link w:val="Char0"/>
    <w:uiPriority w:val="34"/>
    <w:qFormat/>
    <w:pPr>
      <w:ind w:firstLineChars="200" w:firstLine="420"/>
    </w:pPr>
    <w:rPr>
      <w:rFonts w:ascii="Calibri" w:eastAsia="宋体" w:hAnsi="Calibri"/>
    </w:rPr>
  </w:style>
  <w:style w:type="paragraph" w:customStyle="1" w:styleId="16">
    <w:name w:val="列出段落1"/>
    <w:basedOn w:val="a"/>
    <w:link w:val="Char1"/>
    <w:uiPriority w:val="34"/>
    <w:qFormat/>
    <w:pPr>
      <w:ind w:firstLineChars="200" w:firstLine="420"/>
    </w:pPr>
  </w:style>
  <w:style w:type="paragraph" w:customStyle="1" w:styleId="aff0">
    <w:name w:val="政策依据正文"/>
    <w:basedOn w:val="afb"/>
    <w:link w:val="aff1"/>
    <w:qFormat/>
    <w:pPr>
      <w:spacing w:line="312" w:lineRule="auto"/>
      <w:ind w:firstLineChars="0" w:firstLine="0"/>
      <w:jc w:val="center"/>
    </w:pPr>
  </w:style>
  <w:style w:type="paragraph" w:customStyle="1" w:styleId="aff2">
    <w:name w:val="二级标题"/>
    <w:basedOn w:val="2"/>
    <w:link w:val="aff3"/>
    <w:qFormat/>
    <w:pPr>
      <w:spacing w:beforeLines="150" w:afterLines="150" w:line="360" w:lineRule="auto"/>
      <w:ind w:firstLineChars="200" w:firstLine="643"/>
    </w:pPr>
    <w:rPr>
      <w:rFonts w:ascii="Times New Roman" w:eastAsia="黑体" w:hAnsi="Times New Roman"/>
    </w:rPr>
  </w:style>
  <w:style w:type="paragraph" w:customStyle="1" w:styleId="110">
    <w:name w:val="样式11"/>
    <w:basedOn w:val="a"/>
    <w:qFormat/>
    <w:pPr>
      <w:topLinePunct/>
      <w:spacing w:line="360" w:lineRule="auto"/>
      <w:ind w:firstLine="480"/>
    </w:pPr>
    <w:rPr>
      <w:color w:val="000000"/>
    </w:rPr>
  </w:style>
  <w:style w:type="character" w:customStyle="1" w:styleId="aff3">
    <w:name w:val="二级标题 字符"/>
    <w:basedOn w:val="21"/>
    <w:link w:val="aff2"/>
    <w:qFormat/>
    <w:rPr>
      <w:rFonts w:ascii="Times New Roman" w:eastAsia="黑体" w:hAnsi="Times New Roman" w:cs="Times New Roman"/>
      <w:b/>
      <w:bCs/>
      <w:sz w:val="32"/>
      <w:szCs w:val="32"/>
    </w:rPr>
  </w:style>
  <w:style w:type="character" w:customStyle="1" w:styleId="21">
    <w:name w:val="标题 2 字符1"/>
    <w:basedOn w:val="a0"/>
    <w:link w:val="2"/>
    <w:uiPriority w:val="9"/>
    <w:semiHidden/>
    <w:qFormat/>
    <w:rPr>
      <w:rFonts w:ascii="Cambria" w:eastAsia="宋体" w:hAnsi="Cambria" w:cs="Times New Roman"/>
      <w:b/>
      <w:bCs/>
      <w:sz w:val="32"/>
      <w:szCs w:val="32"/>
    </w:rPr>
  </w:style>
  <w:style w:type="character" w:customStyle="1" w:styleId="411XX0">
    <w:name w:val="4.1.1 XX优惠 字符"/>
    <w:link w:val="411XX"/>
    <w:qFormat/>
    <w:rPr>
      <w:rFonts w:ascii="Times New Roman" w:eastAsia="黑体" w:hAnsi="Times New Roman" w:cs="Times New Roman"/>
      <w:b/>
      <w:bCs/>
      <w:kern w:val="24"/>
      <w:sz w:val="28"/>
      <w:szCs w:val="28"/>
    </w:rPr>
  </w:style>
  <w:style w:type="character" w:customStyle="1" w:styleId="a5">
    <w:name w:val="批注主题 字符"/>
    <w:basedOn w:val="a6"/>
    <w:link w:val="a3"/>
    <w:uiPriority w:val="99"/>
    <w:semiHidden/>
    <w:qFormat/>
    <w:rPr>
      <w:rFonts w:ascii="Calibri" w:eastAsia="宋体" w:hAnsi="Calibri" w:cs="Times New Roman"/>
      <w:b/>
      <w:bCs/>
    </w:rPr>
  </w:style>
  <w:style w:type="character" w:customStyle="1" w:styleId="a6">
    <w:name w:val="批注文字 字符"/>
    <w:basedOn w:val="a0"/>
    <w:link w:val="a4"/>
    <w:uiPriority w:val="99"/>
    <w:semiHidden/>
    <w:qFormat/>
    <w:rPr>
      <w:rFonts w:ascii="Calibri" w:eastAsia="宋体" w:hAnsi="Calibri" w:cs="Times New Roman"/>
    </w:rPr>
  </w:style>
  <w:style w:type="character" w:customStyle="1" w:styleId="Char2">
    <w:name w:val="页脚 Char"/>
    <w:basedOn w:val="a0"/>
    <w:uiPriority w:val="99"/>
    <w:semiHidden/>
    <w:qFormat/>
    <w:rPr>
      <w:sz w:val="18"/>
      <w:szCs w:val="18"/>
    </w:rPr>
  </w:style>
  <w:style w:type="character" w:customStyle="1" w:styleId="30">
    <w:name w:val="标题 3 字符"/>
    <w:basedOn w:val="a0"/>
    <w:link w:val="3"/>
    <w:uiPriority w:val="9"/>
    <w:qFormat/>
    <w:rPr>
      <w:rFonts w:ascii="Times New Roman" w:eastAsia="黑体" w:hAnsi="Times New Roman" w:cs="Times New Roman"/>
      <w:b/>
      <w:bCs/>
      <w:kern w:val="24"/>
      <w:sz w:val="28"/>
      <w:szCs w:val="28"/>
    </w:rPr>
  </w:style>
  <w:style w:type="character" w:customStyle="1" w:styleId="3Char">
    <w:name w:val="标题 3 Char"/>
    <w:basedOn w:val="a0"/>
    <w:uiPriority w:val="9"/>
    <w:qFormat/>
    <w:rPr>
      <w:rFonts w:ascii="Times New Roman" w:eastAsia="黑体" w:hAnsi="Times New Roman" w:cs="Times New Roman"/>
      <w:b/>
      <w:bCs/>
      <w:kern w:val="24"/>
      <w:sz w:val="28"/>
      <w:szCs w:val="28"/>
    </w:rPr>
  </w:style>
  <w:style w:type="character" w:customStyle="1" w:styleId="aff">
    <w:name w:val="【事项描】 字符"/>
    <w:link w:val="afe"/>
    <w:qFormat/>
    <w:rPr>
      <w:rFonts w:ascii="宋体" w:eastAsia="宋体" w:hAnsi="宋体" w:cs="Times New Roman"/>
      <w:b/>
      <w:sz w:val="24"/>
      <w:szCs w:val="24"/>
    </w:rPr>
  </w:style>
  <w:style w:type="character" w:customStyle="1" w:styleId="3sunshine0">
    <w:name w:val="3 sunshine 字符"/>
    <w:basedOn w:val="30"/>
    <w:link w:val="3sunshine"/>
    <w:qFormat/>
    <w:rPr>
      <w:rFonts w:ascii="Times New Roman" w:eastAsia="黑体" w:hAnsi="Times New Roman" w:cs="Times New Roman"/>
      <w:b/>
      <w:bCs/>
      <w:kern w:val="24"/>
      <w:sz w:val="28"/>
      <w:szCs w:val="28"/>
    </w:rPr>
  </w:style>
  <w:style w:type="character" w:customStyle="1" w:styleId="ab">
    <w:name w:val="批注框文本 字符"/>
    <w:basedOn w:val="a0"/>
    <w:link w:val="aa"/>
    <w:uiPriority w:val="99"/>
    <w:semiHidden/>
    <w:qFormat/>
    <w:rPr>
      <w:rFonts w:ascii="Tahoma" w:eastAsia="微软雅黑" w:hAnsi="Tahoma"/>
      <w:kern w:val="0"/>
      <w:sz w:val="18"/>
      <w:szCs w:val="18"/>
    </w:rPr>
  </w:style>
  <w:style w:type="character" w:customStyle="1" w:styleId="afc">
    <w:name w:val="正文正文 字符"/>
    <w:link w:val="afb"/>
    <w:qFormat/>
    <w:rPr>
      <w:rFonts w:ascii="宋体" w:eastAsia="宋体" w:hAnsi="宋体" w:cs="Times New Roman"/>
      <w:sz w:val="24"/>
      <w:szCs w:val="24"/>
    </w:rPr>
  </w:style>
  <w:style w:type="character" w:customStyle="1" w:styleId="af6">
    <w:name w:val="事项名称 字符"/>
    <w:basedOn w:val="a0"/>
    <w:link w:val="af5"/>
    <w:qFormat/>
    <w:rPr>
      <w:rFonts w:ascii="黑体" w:eastAsia="黑体" w:hAnsi="黑体" w:cs="Times New Roman"/>
      <w:bCs/>
      <w:sz w:val="24"/>
      <w:szCs w:val="24"/>
    </w:rPr>
  </w:style>
  <w:style w:type="character" w:customStyle="1" w:styleId="Char0">
    <w:name w:val="列出段落 Char"/>
    <w:basedOn w:val="a0"/>
    <w:link w:val="Style30"/>
    <w:uiPriority w:val="34"/>
    <w:qFormat/>
    <w:rPr>
      <w:rFonts w:ascii="Calibri" w:eastAsia="宋体" w:hAnsi="Calibri" w:cs="Times New Roman"/>
    </w:rPr>
  </w:style>
  <w:style w:type="character" w:customStyle="1" w:styleId="af">
    <w:name w:val="页眉 字符"/>
    <w:basedOn w:val="a0"/>
    <w:link w:val="ae"/>
    <w:uiPriority w:val="99"/>
    <w:qFormat/>
    <w:rPr>
      <w:rFonts w:ascii="Tahoma" w:eastAsia="微软雅黑" w:hAnsi="Tahoma"/>
      <w:kern w:val="0"/>
      <w:sz w:val="18"/>
      <w:szCs w:val="18"/>
    </w:rPr>
  </w:style>
  <w:style w:type="character" w:customStyle="1" w:styleId="aff1">
    <w:name w:val="政策依据正文 字符"/>
    <w:basedOn w:val="afc"/>
    <w:link w:val="aff0"/>
    <w:qFormat/>
    <w:rPr>
      <w:rFonts w:ascii="宋体" w:eastAsia="宋体" w:hAnsi="宋体" w:cs="Times New Roman"/>
      <w:sz w:val="24"/>
      <w:szCs w:val="24"/>
    </w:rPr>
  </w:style>
  <w:style w:type="character" w:customStyle="1" w:styleId="11">
    <w:name w:val="纯文本 字符1"/>
    <w:basedOn w:val="a0"/>
    <w:link w:val="a9"/>
    <w:qFormat/>
    <w:rPr>
      <w:rFonts w:ascii="宋体" w:eastAsia="宋体" w:hAnsi="Courier New" w:cs="Courier New"/>
      <w:szCs w:val="21"/>
    </w:rPr>
  </w:style>
  <w:style w:type="character" w:customStyle="1" w:styleId="23">
    <w:name w:val="标题 2 字符"/>
    <w:basedOn w:val="a0"/>
    <w:uiPriority w:val="9"/>
    <w:qFormat/>
    <w:rPr>
      <w:rFonts w:ascii="等线 Light" w:eastAsia="等线 Light" w:hAnsi="等线 Light" w:cs="Times New Roman"/>
      <w:b/>
      <w:bCs/>
      <w:sz w:val="32"/>
      <w:szCs w:val="32"/>
    </w:rPr>
  </w:style>
  <w:style w:type="character" w:customStyle="1" w:styleId="ST">
    <w:name w:val="ST"/>
    <w:qFormat/>
    <w:rPr>
      <w:rFonts w:ascii="宋体" w:hAnsi="宋体"/>
    </w:rPr>
  </w:style>
  <w:style w:type="character" w:customStyle="1" w:styleId="15">
    <w:name w:val="样式1【标准】 字符"/>
    <w:basedOn w:val="10"/>
    <w:link w:val="14"/>
    <w:qFormat/>
    <w:rPr>
      <w:rFonts w:ascii="Times New Roman" w:eastAsia="黑体" w:hAnsi="Times New Roman" w:cs="Times New Roman"/>
      <w:b/>
      <w:bCs w:val="0"/>
      <w:kern w:val="24"/>
      <w:sz w:val="36"/>
      <w:szCs w:val="36"/>
    </w:rPr>
  </w:style>
  <w:style w:type="character" w:customStyle="1" w:styleId="10">
    <w:name w:val="标题 1 字符"/>
    <w:basedOn w:val="a0"/>
    <w:link w:val="1"/>
    <w:uiPriority w:val="9"/>
    <w:qFormat/>
    <w:rPr>
      <w:rFonts w:ascii="等线" w:eastAsia="等线" w:hAnsi="等线" w:cs="Times New Roman"/>
      <w:b/>
      <w:bCs/>
      <w:kern w:val="44"/>
      <w:sz w:val="44"/>
      <w:szCs w:val="44"/>
    </w:rPr>
  </w:style>
  <w:style w:type="character" w:customStyle="1" w:styleId="Char">
    <w:name w:val="政策依据 Char"/>
    <w:link w:val="af7"/>
    <w:qFormat/>
    <w:rPr>
      <w:rFonts w:ascii="Times New Roman" w:eastAsia="楷体" w:hAnsi="Times New Roman"/>
      <w:szCs w:val="21"/>
      <w:u w:val="single"/>
    </w:rPr>
  </w:style>
  <w:style w:type="character" w:customStyle="1" w:styleId="Char3">
    <w:name w:val="页眉 Char"/>
    <w:basedOn w:val="a0"/>
    <w:uiPriority w:val="99"/>
    <w:semiHidden/>
    <w:qFormat/>
    <w:rPr>
      <w:sz w:val="18"/>
      <w:szCs w:val="18"/>
    </w:rPr>
  </w:style>
  <w:style w:type="character" w:customStyle="1" w:styleId="Char1">
    <w:name w:val="列出段落 Char1"/>
    <w:basedOn w:val="a0"/>
    <w:link w:val="16"/>
    <w:uiPriority w:val="34"/>
    <w:qFormat/>
  </w:style>
  <w:style w:type="character" w:customStyle="1" w:styleId="Char4">
    <w:name w:val="批注框文本 Char"/>
    <w:basedOn w:val="a0"/>
    <w:uiPriority w:val="99"/>
    <w:semiHidden/>
    <w:qFormat/>
    <w:rPr>
      <w:rFonts w:ascii="Calibri" w:eastAsia="宋体" w:hAnsi="Calibri" w:cs="Times New Roman"/>
      <w:sz w:val="18"/>
      <w:szCs w:val="18"/>
    </w:rPr>
  </w:style>
  <w:style w:type="character" w:customStyle="1" w:styleId="af9">
    <w:name w:val="正文部分 字符"/>
    <w:basedOn w:val="a0"/>
    <w:link w:val="af8"/>
    <w:qFormat/>
    <w:rPr>
      <w:rFonts w:ascii="宋体" w:eastAsia="宋体" w:hAnsi="宋体"/>
      <w:sz w:val="24"/>
      <w:szCs w:val="24"/>
    </w:rPr>
  </w:style>
  <w:style w:type="character" w:customStyle="1" w:styleId="a8">
    <w:name w:val="文档结构图 字符"/>
    <w:basedOn w:val="a0"/>
    <w:link w:val="a7"/>
    <w:uiPriority w:val="99"/>
    <w:semiHidden/>
    <w:qFormat/>
    <w:rPr>
      <w:rFonts w:ascii="宋体" w:eastAsia="宋体"/>
      <w:sz w:val="18"/>
      <w:szCs w:val="18"/>
    </w:rPr>
  </w:style>
  <w:style w:type="character" w:customStyle="1" w:styleId="41XX0">
    <w:name w:val="4.1 XX优惠 字符"/>
    <w:link w:val="41XX"/>
    <w:qFormat/>
    <w:rPr>
      <w:rFonts w:ascii="Arial" w:eastAsia="黑体" w:hAnsi="Arial" w:cs="Times New Roman"/>
      <w:b/>
      <w:bCs/>
      <w:kern w:val="24"/>
      <w:sz w:val="32"/>
      <w:szCs w:val="32"/>
    </w:rPr>
  </w:style>
  <w:style w:type="character" w:customStyle="1" w:styleId="aff4">
    <w:name w:val="纯文本 字符"/>
    <w:basedOn w:val="a0"/>
    <w:uiPriority w:val="99"/>
    <w:semiHidden/>
    <w:qFormat/>
    <w:rPr>
      <w:rFonts w:ascii="等线" w:hAnsi="Courier New" w:cs="Courier New"/>
    </w:rPr>
  </w:style>
  <w:style w:type="character" w:customStyle="1" w:styleId="ad">
    <w:name w:val="页脚 字符"/>
    <w:basedOn w:val="a0"/>
    <w:link w:val="ac"/>
    <w:uiPriority w:val="99"/>
    <w:qFormat/>
    <w:rPr>
      <w:rFonts w:ascii="Tahoma" w:eastAsia="微软雅黑" w:hAnsi="Tahoma"/>
      <w:kern w:val="0"/>
      <w:sz w:val="18"/>
      <w:szCs w:val="18"/>
    </w:rPr>
  </w:style>
  <w:style w:type="table" w:customStyle="1" w:styleId="17">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42" Type="http://schemas.openxmlformats.org/officeDocument/2006/relationships/hyperlink" Target="https://etax.xinjiang.chinatax.gov.cn/yhs-web/cxzx/bmap.html" TargetMode="External"/><Relationship Id="rId47" Type="http://schemas.openxmlformats.org/officeDocument/2006/relationships/hyperlink" Target="https://etax.xinjiang.chinatax.gov.cn/yhs-web/cxzx/bmap.html" TargetMode="External"/><Relationship Id="rId63" Type="http://schemas.openxmlformats.org/officeDocument/2006/relationships/hyperlink" Target="https://etax.xinjiang.chinatax.gov.cn/yhs-web/cxzx/bmap.html" TargetMode="External"/><Relationship Id="rId68" Type="http://schemas.openxmlformats.org/officeDocument/2006/relationships/hyperlink" Target="https://etax.xinjiang.chinatax.gov.cn/yhs-web/cxzx/bmap.html" TargetMode="External"/><Relationship Id="rId84" Type="http://schemas.openxmlformats.org/officeDocument/2006/relationships/hyperlink" Target="https://etax.xinjiang.chinatax.gov.cn/yhs-web/cxzx/bmap.html" TargetMode="External"/><Relationship Id="rId89" Type="http://schemas.openxmlformats.org/officeDocument/2006/relationships/hyperlink" Target="https://etax.xinjiang.chinatax.gov.cn/yhs-web/cxzx/bmap.html" TargetMode="External"/><Relationship Id="rId16" Type="http://schemas.openxmlformats.org/officeDocument/2006/relationships/hyperlink" Target="https://etax.xinjiang.chinatax.gov.cn/yhs-web/cxzx/bmap.html" TargetMode="External"/><Relationship Id="rId11" Type="http://schemas.openxmlformats.org/officeDocument/2006/relationships/image" Target="media/image2.png"/><Relationship Id="rId32" Type="http://schemas.openxmlformats.org/officeDocument/2006/relationships/hyperlink" Target="https://etax.xinjiang.chinatax.gov.cn/yhs-web/cxzx/bmap.html" TargetMode="External"/><Relationship Id="rId37" Type="http://schemas.openxmlformats.org/officeDocument/2006/relationships/hyperlink" Target="https://etax.xinjiang.chinatax.gov.cn/yhs-web/cxzx/bmap.html" TargetMode="External"/><Relationship Id="rId53" Type="http://schemas.openxmlformats.org/officeDocument/2006/relationships/hyperlink" Target="https://etax.xinjiang.chinatax.gov.cn/yhs-web/cxzx/bmap.html" TargetMode="External"/><Relationship Id="rId58" Type="http://schemas.openxmlformats.org/officeDocument/2006/relationships/hyperlink" Target="https://etax.xinjiang.chinatax.gov.cn/yhs-web/cxzx/bmap.html" TargetMode="External"/><Relationship Id="rId74" Type="http://schemas.openxmlformats.org/officeDocument/2006/relationships/hyperlink" Target="https://etax.xinjiang.chinatax.gov.cn/yhs-web/cxzx/bmap.html" TargetMode="External"/><Relationship Id="rId79" Type="http://schemas.openxmlformats.org/officeDocument/2006/relationships/hyperlink" Target="https://etax.xinjiang.chinatax.gov.cn/yhs-web/cxzx/bmap.html" TargetMode="External"/><Relationship Id="rId5" Type="http://schemas.openxmlformats.org/officeDocument/2006/relationships/footnotes" Target="footnotes.xml"/><Relationship Id="rId90" Type="http://schemas.openxmlformats.org/officeDocument/2006/relationships/hyperlink" Target="https://etax.xinjiang.chinatax.gov.cn/yhs-web/cxzx/bmap.html" TargetMode="External"/><Relationship Id="rId95" Type="http://schemas.openxmlformats.org/officeDocument/2006/relationships/hyperlink" Target="https://etax.xinjiang.chinatax.gov.cn/yhs-web/cxzx/bmap.html" TargetMode="External"/><Relationship Id="rId22" Type="http://schemas.openxmlformats.org/officeDocument/2006/relationships/hyperlink" Target="https://etax.xinjiang.chinatax.gov.cn/yhs-web/cxzx/bmap.html" TargetMode="External"/><Relationship Id="rId27" Type="http://schemas.openxmlformats.org/officeDocument/2006/relationships/image" Target="media/image6.png"/><Relationship Id="rId43" Type="http://schemas.openxmlformats.org/officeDocument/2006/relationships/hyperlink" Target="https://etax.xinjiang.chinatax.gov.cn/yhs-web/cxzx/bmap.html" TargetMode="External"/><Relationship Id="rId48" Type="http://schemas.openxmlformats.org/officeDocument/2006/relationships/hyperlink" Target="https://etax.xinjiang.chinatax.gov.cn/yhs-web/cxzx/bmap.html" TargetMode="External"/><Relationship Id="rId64" Type="http://schemas.openxmlformats.org/officeDocument/2006/relationships/hyperlink" Target="https://etax.xinjiang.chinatax.gov.cn/yhs-web/cxzx/bmap.html" TargetMode="External"/><Relationship Id="rId69" Type="http://schemas.openxmlformats.org/officeDocument/2006/relationships/hyperlink" Target="https://etax.xinjiang.chinatax.gov.cn/yhs-web/cxzx/bmap.html" TargetMode="External"/><Relationship Id="rId80" Type="http://schemas.openxmlformats.org/officeDocument/2006/relationships/hyperlink" Target="https://etax.xinjiang.chinatax.gov.cn/yhs-web/cxzx/bmap.html" TargetMode="External"/><Relationship Id="rId85" Type="http://schemas.openxmlformats.org/officeDocument/2006/relationships/hyperlink" Target="https://etax.xinjiang.chinatax.gov.cn/yhs-web/cxzx/bmap.html" TargetMode="External"/><Relationship Id="rId3" Type="http://schemas.openxmlformats.org/officeDocument/2006/relationships/settings" Target="setting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38" Type="http://schemas.openxmlformats.org/officeDocument/2006/relationships/hyperlink" Target="https://etax.xinjiang.chinatax.gov.cn/yhs-web/cxzx/bmap.html" TargetMode="External"/><Relationship Id="rId46" Type="http://schemas.openxmlformats.org/officeDocument/2006/relationships/hyperlink" Target="https://etax.xinjiang.chinatax.gov.cn/yhs-web/cxzx/bmap.html" TargetMode="External"/><Relationship Id="rId59" Type="http://schemas.openxmlformats.org/officeDocument/2006/relationships/hyperlink" Target="https://etax.xinjiang.chinatax.gov.cn/yhs-web/cxzx/bmap.html" TargetMode="External"/><Relationship Id="rId67" Type="http://schemas.openxmlformats.org/officeDocument/2006/relationships/hyperlink" Target="https://etax.xinjiang.chinatax.gov.cn/yhs-web/cxzx/bmap.html" TargetMode="External"/><Relationship Id="rId20" Type="http://schemas.openxmlformats.org/officeDocument/2006/relationships/hyperlink" Target="https://etax.xinjiang.chinatax.gov.cn/yhs-web/cxzx/bmap.html" TargetMode="External"/><Relationship Id="rId41" Type="http://schemas.openxmlformats.org/officeDocument/2006/relationships/hyperlink" Target="https://etax.xinjiang.chinatax.gov.cn/yhs-web/cxzx/bmap.html" TargetMode="External"/><Relationship Id="rId54" Type="http://schemas.openxmlformats.org/officeDocument/2006/relationships/hyperlink" Target="https://etax.xinjiang.chinatax.gov.cn/yhs-web/cxzx/bmap.html" TargetMode="External"/><Relationship Id="rId62" Type="http://schemas.openxmlformats.org/officeDocument/2006/relationships/hyperlink" Target="https://etax.xinjiang.chinatax.gov.cn/yhs-web/cxzx/bmap.html" TargetMode="External"/><Relationship Id="rId70" Type="http://schemas.openxmlformats.org/officeDocument/2006/relationships/hyperlink" Target="https://etax.xinjiang.chinatax.gov.cn/yhs-web/cxzx/bmap.html" TargetMode="External"/><Relationship Id="rId75" Type="http://schemas.openxmlformats.org/officeDocument/2006/relationships/hyperlink" Target="https://etax.xinjiang.chinatax.gov.cn/yhs-web/cxzx/bmap.html" TargetMode="External"/><Relationship Id="rId83" Type="http://schemas.openxmlformats.org/officeDocument/2006/relationships/hyperlink" Target="https://etax.xinjiang.chinatax.gov.cn/yhs-web/cxzx/bmap.html" TargetMode="External"/><Relationship Id="rId88" Type="http://schemas.openxmlformats.org/officeDocument/2006/relationships/hyperlink" Target="https://etax.xinjiang.chinatax.gov.cn/yhs-web/cxzx/bmap.html" TargetMode="External"/><Relationship Id="rId91" Type="http://schemas.openxmlformats.org/officeDocument/2006/relationships/hyperlink" Target="https://etax.xinjiang.chinatax.gov.cn/yhs-web/cxzx/bmap.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tax.xinjiang.chinatax.gov.cn/yhs-web/cxzx/bmap.html" TargetMode="External"/><Relationship Id="rId23" Type="http://schemas.openxmlformats.org/officeDocument/2006/relationships/hyperlink" Target="https://etax.xinjiang.chinatax.gov.cn/yhs-web/cxzx/bmap.html" TargetMode="External"/><Relationship Id="rId28" Type="http://schemas.openxmlformats.org/officeDocument/2006/relationships/hyperlink" Target="https://etax.xinjiang.chinatax.gov.cn/yhs-web/cxzx/bmap.html" TargetMode="External"/><Relationship Id="rId36" Type="http://schemas.openxmlformats.org/officeDocument/2006/relationships/hyperlink" Target="https://etax.xinjiang.chinatax.gov.cn/yhs-web/cxzx/bmap.html" TargetMode="External"/><Relationship Id="rId49" Type="http://schemas.openxmlformats.org/officeDocument/2006/relationships/hyperlink" Target="https://etax.xinjiang.chinatax.gov.cn/yhs-web/cxzx/bmap.html" TargetMode="External"/><Relationship Id="rId57" Type="http://schemas.openxmlformats.org/officeDocument/2006/relationships/hyperlink" Target="https://etax.xinjiang.chinatax.gov.cn/yhs-web/cxzx/bmap.html" TargetMode="External"/><Relationship Id="rId10" Type="http://schemas.openxmlformats.org/officeDocument/2006/relationships/hyperlink" Target="https://etax.xinjiang.chinatax.gov.cn/yhs-web/cxzx/bmap.html" TargetMode="External"/><Relationship Id="rId31" Type="http://schemas.openxmlformats.org/officeDocument/2006/relationships/hyperlink" Target="https://etax.xinjiang.chinatax.gov.cn/yhs-web/cxzx/bmap.html" TargetMode="External"/><Relationship Id="rId44" Type="http://schemas.openxmlformats.org/officeDocument/2006/relationships/hyperlink" Target="https://etax.xinjiang.chinatax.gov.cn/yhs-web/cxzx/bmap.html" TargetMode="External"/><Relationship Id="rId52" Type="http://schemas.openxmlformats.org/officeDocument/2006/relationships/hyperlink" Target="https://etax.xinjiang.chinatax.gov.cn/yhs-web/cxzx/bmap.html" TargetMode="External"/><Relationship Id="rId60" Type="http://schemas.openxmlformats.org/officeDocument/2006/relationships/hyperlink" Target="https://etax.xinjiang.chinatax.gov.cn/yhs-web/cxzx/bmap.html" TargetMode="External"/><Relationship Id="rId65" Type="http://schemas.openxmlformats.org/officeDocument/2006/relationships/hyperlink" Target="https://etax.xinjiang.chinatax.gov.cn/yhs-web/cxzx/bmap.html" TargetMode="External"/><Relationship Id="rId73" Type="http://schemas.openxmlformats.org/officeDocument/2006/relationships/hyperlink" Target="file:///C:\Users\jojo\Desktop\6.30&#31532;&#19968;&#32452;&#35752;&#35770;&#31295;\&#38142;&#25509;&#25991;&#20214;\&#21512;&#20249;&#21019;&#25237;&#20225;&#19994;&#20010;&#20154;&#25152;&#24471;&#31246;&#25237;&#36164;&#25269;&#25187;&#24773;&#20917;&#34920;.doc" TargetMode="External"/><Relationship Id="rId78" Type="http://schemas.openxmlformats.org/officeDocument/2006/relationships/hyperlink" Target="https://etax.xinjiang.chinatax.gov.cn/yhs-web/cxzx/bmap.html" TargetMode="External"/><Relationship Id="rId81" Type="http://schemas.openxmlformats.org/officeDocument/2006/relationships/hyperlink" Target="https://etax.xinjiang.chinatax.gov.cn/yhs-web/cxzx/bmap.html" TargetMode="External"/><Relationship Id="rId86" Type="http://schemas.openxmlformats.org/officeDocument/2006/relationships/hyperlink" Target="https://etax.xinjiang.chinatax.gov.cn/yhs-web/cxzx/bmap.html" TargetMode="External"/><Relationship Id="rId94" Type="http://schemas.openxmlformats.org/officeDocument/2006/relationships/hyperlink" Target="https://etax.xinjiang.chinatax.gov.cn/yhs-web/cxzx/bmap.html" TargetMode="External"/><Relationship Id="rId4" Type="http://schemas.openxmlformats.org/officeDocument/2006/relationships/webSettings" Target="webSettings.xml"/><Relationship Id="rId9" Type="http://schemas.openxmlformats.org/officeDocument/2006/relationships/hyperlink" Target="https://etax.xinjiang.chinatax.gov.cn/yhs-web/cxzx/bmap.html" TargetMode="External"/><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39" Type="http://schemas.openxmlformats.org/officeDocument/2006/relationships/hyperlink" Target="https://etax.xinjiang.chinatax.gov.cn/yhs-web/cxzx/bmap.html" TargetMode="External"/><Relationship Id="rId34" Type="http://schemas.openxmlformats.org/officeDocument/2006/relationships/image" Target="media/image7.png"/><Relationship Id="rId50" Type="http://schemas.openxmlformats.org/officeDocument/2006/relationships/hyperlink" Target="https://etax.xinjiang.chinatax.gov.cn/yhs-web/cxzx/bmap.html" TargetMode="External"/><Relationship Id="rId55" Type="http://schemas.openxmlformats.org/officeDocument/2006/relationships/hyperlink" Target="https://etax.xinjiang.chinatax.gov.cn/yhs-web/cxzx/bmap.html" TargetMode="External"/><Relationship Id="rId76" Type="http://schemas.openxmlformats.org/officeDocument/2006/relationships/hyperlink" Target="https://etax.xinjiang.chinatax.gov.cn/yhs-web/cxzx/bmap.html" TargetMode="External"/><Relationship Id="rId97" Type="http://schemas.openxmlformats.org/officeDocument/2006/relationships/theme" Target="theme/theme1.xml"/><Relationship Id="rId7" Type="http://schemas.openxmlformats.org/officeDocument/2006/relationships/hyperlink" Target="https://etax.xinjiang.chinatax.gov.cn/yhs-web/cxzx/bmap.html" TargetMode="External"/><Relationship Id="rId71" Type="http://schemas.openxmlformats.org/officeDocument/2006/relationships/hyperlink" Target="file:///C:\Users\jojo\Desktop\6.30&#31532;&#19968;&#32452;&#35752;&#35770;&#31295;\&#38142;&#25509;&#25991;&#20214;\&#22825;&#20351;&#25237;&#36164;&#20010;&#20154;&#25152;&#24471;&#31246;&#25237;&#36164;&#25269;&#25187;&#24773;&#20917;&#34920;.doc" TargetMode="External"/><Relationship Id="rId92" Type="http://schemas.openxmlformats.org/officeDocument/2006/relationships/hyperlink" Target="https://etax.xinjiang.chinatax.gov.cn/yhs-web/cxzx/bmap.html" TargetMode="External"/><Relationship Id="rId2" Type="http://schemas.openxmlformats.org/officeDocument/2006/relationships/styles" Target="styles.xml"/><Relationship Id="rId29" Type="http://schemas.openxmlformats.org/officeDocument/2006/relationships/hyperlink" Target="https://etax.xinjiang.chinatax.gov.cn/yhs-web/cxzx/bmap.html" TargetMode="External"/><Relationship Id="rId24" Type="http://schemas.openxmlformats.org/officeDocument/2006/relationships/image" Target="media/image5.png"/><Relationship Id="rId40" Type="http://schemas.openxmlformats.org/officeDocument/2006/relationships/hyperlink" Target="https://etax.xinjiang.chinatax.gov.cn/yhs-web/cxzx/bmap.html" TargetMode="External"/><Relationship Id="rId45" Type="http://schemas.openxmlformats.org/officeDocument/2006/relationships/hyperlink" Target="https://etax.xinjiang.chinatax.gov.cn/yhs-web/cxzx/bmap.html" TargetMode="External"/><Relationship Id="rId66" Type="http://schemas.openxmlformats.org/officeDocument/2006/relationships/hyperlink" Target="https://etax.xinjiang.chinatax.gov.cn/yhs-web/cxzx/bmap.html" TargetMode="External"/><Relationship Id="rId87" Type="http://schemas.openxmlformats.org/officeDocument/2006/relationships/hyperlink" Target="https://etax.xinjiang.chinatax.gov.cn/yhs-web/cxzx/bmap.html" TargetMode="External"/><Relationship Id="rId61" Type="http://schemas.openxmlformats.org/officeDocument/2006/relationships/hyperlink" Target="https://etax.xinjiang.chinatax.gov.cn/yhs-web/cxzx/bmap.html" TargetMode="External"/><Relationship Id="rId82" Type="http://schemas.openxmlformats.org/officeDocument/2006/relationships/hyperlink" Target="https://etax.xinjiang.chinatax.gov.cn/yhs-web/cxzx/bmap.html" TargetMode="External"/><Relationship Id="rId19" Type="http://schemas.openxmlformats.org/officeDocument/2006/relationships/image" Target="media/image4.png"/><Relationship Id="rId14" Type="http://schemas.openxmlformats.org/officeDocument/2006/relationships/image" Target="media/image3.png"/><Relationship Id="rId30" Type="http://schemas.openxmlformats.org/officeDocument/2006/relationships/hyperlink" Target="https://etax.xinjiang.chinatax.gov.cn/yhs-web/cxzx/bmap.html" TargetMode="External"/><Relationship Id="rId35" Type="http://schemas.openxmlformats.org/officeDocument/2006/relationships/hyperlink" Target="https://etax.xinjiang.chinatax.gov.cn/yhs-web/cxzx/bmap.html" TargetMode="External"/><Relationship Id="rId56" Type="http://schemas.openxmlformats.org/officeDocument/2006/relationships/hyperlink" Target="https://etax.xinjiang.chinatax.gov.cn/yhs-web/cxzx/bmap.html" TargetMode="External"/><Relationship Id="rId77" Type="http://schemas.openxmlformats.org/officeDocument/2006/relationships/hyperlink" Target="https://etax.xinjiang.chinatax.gov.cn/yhs-web/cxzx/bmap.html" TargetMode="External"/><Relationship Id="rId8" Type="http://schemas.openxmlformats.org/officeDocument/2006/relationships/image" Target="media/image1.png"/><Relationship Id="rId51" Type="http://schemas.openxmlformats.org/officeDocument/2006/relationships/hyperlink" Target="https://etax.xinjiang.chinatax.gov.cn/yhs-web/cxzx/bmap.html" TargetMode="External"/><Relationship Id="rId72" Type="http://schemas.openxmlformats.org/officeDocument/2006/relationships/hyperlink" Target="file:///C:\Users\jojo\Desktop\6.30&#31532;&#19968;&#32452;&#35752;&#35770;&#31295;\&#38142;&#25509;&#25991;&#20214;\&#22825;&#20351;&#25237;&#36164;&#20010;&#20154;&#25152;&#24471;&#31246;&#25237;&#36164;&#25269;&#25187;&#22791;&#26696;&#34920;.doc" TargetMode="External"/><Relationship Id="rId93"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109</Pages>
  <Words>9586</Words>
  <Characters>54644</Characters>
  <Application>Microsoft Office Word</Application>
  <DocSecurity>0</DocSecurity>
  <Lines>455</Lines>
  <Paragraphs>128</Paragraphs>
  <ScaleCrop>false</ScaleCrop>
  <Company>微软中国</Company>
  <LinksUpToDate>false</LinksUpToDate>
  <CharactersWithSpaces>64102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卿 方</dc:creator>
  <cp:lastModifiedBy>焦东平</cp:lastModifiedBy>
  <cp:revision>21</cp:revision>
  <dcterms:created xsi:type="dcterms:W3CDTF">2019-09-27T01:26:00Z</dcterms:created>
  <dcterms:modified xsi:type="dcterms:W3CDTF">2019-11-13T08:19:00Z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