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333333"/>
          <w:sz w:val="42"/>
          <w:szCs w:val="42"/>
        </w:rPr>
      </w:pPr>
      <w:r>
        <w:rPr>
          <w:b/>
          <w:color w:val="333333"/>
          <w:sz w:val="42"/>
          <w:szCs w:val="42"/>
        </w:rPr>
        <w:t>办税事项“最多跑一次”清单（</w:t>
      </w:r>
      <w:r>
        <w:rPr>
          <w:rFonts w:hint="eastAsia"/>
          <w:b/>
          <w:color w:val="333333"/>
          <w:sz w:val="42"/>
          <w:szCs w:val="42"/>
          <w:lang w:val="en-US" w:eastAsia="zh-CN"/>
        </w:rPr>
        <w:t>更新</w:t>
      </w:r>
      <w:bookmarkStart w:id="0" w:name="_GoBack"/>
      <w:bookmarkEnd w:id="0"/>
      <w:r>
        <w:rPr>
          <w:b/>
          <w:color w:val="333333"/>
          <w:sz w:val="42"/>
          <w:szCs w:val="42"/>
        </w:rPr>
        <w:t>）</w:t>
      </w:r>
    </w:p>
    <w:p/>
    <w:tbl>
      <w:tblPr>
        <w:tblStyle w:val="6"/>
        <w:tblW w:w="9419" w:type="dxa"/>
        <w:jc w:val="center"/>
        <w:tblInd w:w="-55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605"/>
        <w:gridCol w:w="734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41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办税事项“最多跑一次”清单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事项类别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事项名称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信息报告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一照一码户登记信息确认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两证整合个体工商户登记信息确认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一照一码户信息变更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两证整合个体工商户信息变更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纳税人（扣缴义务人）身份信息报告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自然人自主报告身份信息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扣缴义务人报告自然人身份信息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税务证件增补发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存款账户账号报告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财务会计制度及核算软件备案报告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银税三方（委托）划缴协议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跨区域涉税事项报告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跨区域涉税事项报验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跨区域涉税事项信息反馈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增值税一般纳税人登记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选择按小规模纳税人纳税的情况说明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一般纳税人转登记小规模纳税人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货物运输业小规模纳税人异地代开增值税专用发票备案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增值税适用加计抵减政策声明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农产品增值税进项税额扣除标准备案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软件和集成电路产业企业所得税优惠事项资料报告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软件产品增值税即征即退进项分摊方式资料报送与信息报告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欠税人处置不动产或者大额资产报告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合并分立报告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停业登记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复业登记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个人所得税递延纳税报告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科技成果转化暂不征收个人所得税备案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个人所得税分期缴纳报告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个人所得税抵扣情况报告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合伙制创业投资企业单一投资基金核算方式报告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企业所得税汇总纳税信息报告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核定征收企业所得税重大变化报告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综合税源信息报告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建筑业项目报告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注销建筑业项目报告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不动产项目报告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注销不动产项目报告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房地产税收一体化信息报告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税收统计调查数据报告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发票办理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发票票种核定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增值税专用发票（增值税税控系统）最高开票限额审批（10万元以下）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发票领用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发票验（交）旧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发票缴销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增值税税控系统专用设备初始发行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增值税税控系统专用设备变更发行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增值税税控系统专用设备注销发行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代开增值税专用发票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代开增值税普通发票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代开发票作废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存根联数据采集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红字增值税专用发票开具及作废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发票遗失、损毁报告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发票真伪鉴定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临时开票权限办理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申报纳税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增值税一般纳税人申报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增值税小规模纳税人申报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增值税预缴申报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原油天然气增值税申报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航空运输企业年度清算申报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烟类应税消费品消费税申报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酒类应税消费品消费税申报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成品油消费税申报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小汽车消费税申报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电池消费税申报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涂料消费税申报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其他类消费税申报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车辆购置税申报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居民企业（查账征收）企业所得税月（季）度申报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居民企业（核定征收）企业所得税月（季）度申报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居民企业（查账征收）企业所得税年度申报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居民企业（核定征收）企业所得税年度申报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清算企业所得税申报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居民综合所得个人所得税年度自行申报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经营所得个人所得税月（季）度申报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经营所得个人所得税年度申报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居民其他分类所得个人所得税自行申报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非居民个人所得税自行申报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限售股转让所得个人所得税清算申报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房产税申报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城镇土地使用税申报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土地增值税预征申报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土地增值税清算申报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房地产项目尾盘销售土地增值税申报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其他情况土地增值税申报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耕地占用税申报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资源税申报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契税申报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印花税申报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车船税申报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烟叶税申报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环境保护税申报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附加税（费）申报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定期定额户自行申报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定期定额户简易申报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通用申报（税及附征税费）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房产交易申报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委托代征报告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印花税票代售报告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代收代缴车船税申报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居民个人取得综合所得个人所得税预扣预缴申报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居民个人取得分类所得个人所得税代扣代缴申报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非居民个人所得税代扣代缴申报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限售股转让所得扣缴个人所得税申报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单一投资基金核算的合伙制创业投资企业个人所得税扣缴申报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扣缴储蓄存款利息所得个人所得税申报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代扣代缴证券交易印花税申报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其他代扣代缴、代收代缴申报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财务会计报告报送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申报错误更正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优惠办理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申报享受税收减免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税收减免备案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跨境应税行为免征增值税报告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纳税人放弃免（减）税权声明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证明办理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开具税收完税证明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开具个人所得税纳税记录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转开印花税票销售凭证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社会保险费及非税收入业务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单位社会保险费申报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城乡居民社会保险费申报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文化事业建设费申报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废弃电器电子产品处理基金申报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残疾人就业保障金申报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石油特别收益金申报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油价调控风险准备金申报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非税收入通用申报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出口退（免）税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出口退（免）税企业备案信息报告（除备案变更、撤回外）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其他出口退（免）税备案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出口企业放弃退（免）税报告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出口退（免）税凭证无相关电子信息申报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补办出口退（免）税证明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作废出口退（免）税证明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出口货物劳务专用税收票证开具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国际税收业务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境内机构和个人发包工程作业或劳务项目备案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服务贸易等项目对外支付税务备案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同期资料报告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非居民企业间接转让财产事项报告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非居民企业股权转让适用特殊性税务处理的备案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扣缴企业所得税报告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非居民企业企业所得税预缴申报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非居民企业企业所得税年度申报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关联业务往来年度报告申报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非居民纳税人享受税收协定待遇办理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税务注销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税务注销（即办流程）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注销扣缴税款登记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6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涉税信息查询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社会公众涉税公开信息查询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6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纳税人涉税信息查询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148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</w:t>
            </w: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涉税专业服务机构（人员）基本信息报送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149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涉税专业服务协议要素信息报送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150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涉税专业服务年度报告报送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151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涉税专业服务专项报告报送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152</w:t>
            </w: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73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color w:val="00000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color w:val="000000"/>
                <w:kern w:val="0"/>
                <w:sz w:val="19"/>
                <w:szCs w:val="19"/>
                <w:lang w:val="en-US" w:eastAsia="zh-CN" w:bidi="ar"/>
              </w:rPr>
              <w:t>涉税专业服务机构（人员）信用信息查询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16A4D"/>
    <w:rsid w:val="7A9A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current"/>
    <w:basedOn w:val="3"/>
    <w:qFormat/>
    <w:uiPriority w:val="0"/>
    <w:rPr>
      <w:b/>
      <w:color w:val="FFFFFF"/>
      <w:shd w:val="clear" w:fill="1E56A8"/>
    </w:rPr>
  </w:style>
  <w:style w:type="character" w:customStyle="1" w:styleId="8">
    <w:name w:val="extend"/>
    <w:basedOn w:val="3"/>
    <w:uiPriority w:val="0"/>
    <w:rPr>
      <w:color w:val="BBBBBB"/>
    </w:rPr>
  </w:style>
  <w:style w:type="character" w:customStyle="1" w:styleId="9">
    <w:name w:val="pages"/>
    <w:basedOn w:val="3"/>
    <w:uiPriority w:val="0"/>
    <w:rPr>
      <w:b/>
      <w:color w:val="333333"/>
      <w:shd w:val="clear" w:fill="F1F1F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yuandan</dc:creator>
  <cp:lastModifiedBy>袁旦</cp:lastModifiedBy>
  <dcterms:modified xsi:type="dcterms:W3CDTF">2019-12-04T04:10:50Z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