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AB" w:rsidRDefault="00D35DE2">
      <w:pPr>
        <w:jc w:val="center"/>
        <w:rPr>
          <w:rFonts w:ascii="华文中宋" w:eastAsia="华文中宋" w:hAnsi="华文中宋"/>
          <w:sz w:val="44"/>
          <w:szCs w:val="44"/>
        </w:rPr>
      </w:pPr>
      <w:r>
        <w:rPr>
          <w:rFonts w:ascii="华文中宋" w:eastAsia="华文中宋" w:hAnsi="华文中宋" w:hint="eastAsia"/>
          <w:sz w:val="44"/>
          <w:szCs w:val="44"/>
        </w:rPr>
        <w:t>2022</w:t>
      </w:r>
      <w:r w:rsidR="007417CC">
        <w:rPr>
          <w:rFonts w:ascii="华文中宋" w:eastAsia="华文中宋" w:hAnsi="华文中宋" w:hint="eastAsia"/>
          <w:sz w:val="44"/>
          <w:szCs w:val="44"/>
        </w:rPr>
        <w:t>年第四</w:t>
      </w:r>
      <w:bookmarkStart w:id="0" w:name="_GoBack"/>
      <w:bookmarkEnd w:id="0"/>
      <w:r>
        <w:rPr>
          <w:rFonts w:ascii="华文中宋" w:eastAsia="华文中宋" w:hAnsi="华文中宋" w:hint="eastAsia"/>
          <w:sz w:val="44"/>
          <w:szCs w:val="44"/>
        </w:rPr>
        <w:t>季度税务网站抽查情况表</w:t>
      </w:r>
    </w:p>
    <w:p w:rsidR="000071AB" w:rsidRDefault="000071AB">
      <w:pPr>
        <w:jc w:val="center"/>
        <w:rPr>
          <w:rFonts w:ascii="华文中宋" w:eastAsia="华文中宋" w:hAnsi="华文中宋"/>
          <w:sz w:val="44"/>
          <w:szCs w:val="44"/>
        </w:rPr>
      </w:pPr>
    </w:p>
    <w:p w:rsidR="000071AB" w:rsidRDefault="00D35DE2">
      <w:pPr>
        <w:rPr>
          <w:rFonts w:ascii="仿宋" w:eastAsia="仿宋" w:hAnsi="仿宋" w:cs="仿宋"/>
          <w:sz w:val="32"/>
          <w:szCs w:val="32"/>
        </w:rPr>
      </w:pPr>
      <w:r>
        <w:rPr>
          <w:rFonts w:ascii="仿宋" w:eastAsia="仿宋" w:hAnsi="仿宋" w:cs="仿宋" w:hint="eastAsia"/>
          <w:sz w:val="32"/>
          <w:szCs w:val="32"/>
        </w:rPr>
        <w:t>抽查时间：2022年</w:t>
      </w:r>
      <w:r w:rsidR="007417CC">
        <w:rPr>
          <w:rFonts w:ascii="仿宋" w:eastAsia="仿宋" w:hAnsi="仿宋" w:cs="仿宋" w:hint="eastAsia"/>
          <w:sz w:val="32"/>
          <w:szCs w:val="32"/>
        </w:rPr>
        <w:t>12月2</w:t>
      </w:r>
      <w:r w:rsidR="007417CC">
        <w:rPr>
          <w:rFonts w:ascii="仿宋" w:eastAsia="仿宋" w:hAnsi="仿宋" w:cs="仿宋"/>
          <w:sz w:val="32"/>
          <w:szCs w:val="32"/>
        </w:rPr>
        <w:t>0</w:t>
      </w:r>
      <w:r>
        <w:rPr>
          <w:rFonts w:ascii="仿宋" w:eastAsia="仿宋" w:hAnsi="仿宋" w:cs="仿宋" w:hint="eastAsia"/>
          <w:sz w:val="32"/>
          <w:szCs w:val="32"/>
        </w:rPr>
        <w:t>日至</w:t>
      </w:r>
      <w:r w:rsidR="007417CC">
        <w:rPr>
          <w:rFonts w:ascii="仿宋" w:eastAsia="仿宋" w:hAnsi="仿宋" w:cs="仿宋" w:hint="eastAsia"/>
          <w:sz w:val="32"/>
          <w:szCs w:val="32"/>
        </w:rPr>
        <w:t>12</w:t>
      </w:r>
      <w:r>
        <w:rPr>
          <w:rFonts w:ascii="仿宋" w:eastAsia="仿宋" w:hAnsi="仿宋" w:cs="仿宋" w:hint="eastAsia"/>
          <w:sz w:val="32"/>
          <w:szCs w:val="32"/>
        </w:rPr>
        <w:t>月25日</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721"/>
        <w:gridCol w:w="7117"/>
        <w:gridCol w:w="1208"/>
      </w:tblGrid>
      <w:tr w:rsidR="000071AB" w:rsidTr="007417CC">
        <w:trPr>
          <w:trHeight w:hRule="exact" w:val="567"/>
          <w:jc w:val="center"/>
        </w:trPr>
        <w:tc>
          <w:tcPr>
            <w:tcW w:w="333"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序号</w:t>
            </w:r>
          </w:p>
        </w:tc>
        <w:tc>
          <w:tcPr>
            <w:tcW w:w="1689"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网站栏目名称</w:t>
            </w:r>
          </w:p>
        </w:tc>
        <w:tc>
          <w:tcPr>
            <w:tcW w:w="2546"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栏目首页地址</w:t>
            </w:r>
          </w:p>
        </w:tc>
        <w:tc>
          <w:tcPr>
            <w:tcW w:w="432" w:type="pct"/>
            <w:vAlign w:val="center"/>
          </w:tcPr>
          <w:p w:rsidR="000071AB" w:rsidRDefault="00D35DE2">
            <w:pPr>
              <w:jc w:val="center"/>
              <w:rPr>
                <w:rFonts w:ascii="仿宋" w:eastAsia="仿宋" w:hAnsi="仿宋" w:cs="仿宋"/>
                <w:b/>
                <w:sz w:val="32"/>
                <w:szCs w:val="32"/>
              </w:rPr>
            </w:pPr>
            <w:r>
              <w:rPr>
                <w:rFonts w:ascii="仿宋" w:eastAsia="仿宋" w:hAnsi="仿宋" w:cs="仿宋" w:hint="eastAsia"/>
                <w:b/>
                <w:sz w:val="32"/>
                <w:szCs w:val="32"/>
              </w:rPr>
              <w:t>结果</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五家渠税务局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https://xinjiang.chinatax.gov.cn/wjq/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2</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阿拉尔</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https://xinjiang.chinatax.gov.cn/ale/</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3</w:t>
            </w:r>
          </w:p>
        </w:tc>
        <w:tc>
          <w:tcPr>
            <w:tcW w:w="1689" w:type="pct"/>
            <w:vAlign w:val="center"/>
          </w:tcPr>
          <w:p w:rsidR="000071AB" w:rsidRDefault="007417CC" w:rsidP="007417CC">
            <w:pPr>
              <w:jc w:val="center"/>
              <w:rPr>
                <w:rFonts w:ascii="仿宋" w:eastAsia="仿宋" w:hAnsi="仿宋" w:cs="仿宋"/>
                <w:sz w:val="32"/>
                <w:szCs w:val="32"/>
              </w:rPr>
            </w:pPr>
            <w:r>
              <w:rPr>
                <w:rFonts w:ascii="仿宋" w:eastAsia="仿宋" w:hAnsi="仿宋" w:cs="仿宋" w:hint="eastAsia"/>
                <w:sz w:val="32"/>
                <w:szCs w:val="32"/>
              </w:rPr>
              <w:t>图木舒克</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https://xinjiang.chinatax.gov.cn/tmsk/</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4</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北屯</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https://xinjiang.chinatax.gov.cn/bt/</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5</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铁门关</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https://xinjiang.chinatax.gov.cn/tmg/</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6</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双河</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https://xinjiang.chinatax.gov.cn/sh/</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7</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乌鲁木齐开发区</w:t>
            </w:r>
            <w:r w:rsidR="00D35DE2">
              <w:rPr>
                <w:rFonts w:ascii="仿宋" w:eastAsia="仿宋" w:hAnsi="仿宋" w:cs="仿宋"/>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https://xinjiang.chinatax.gov.cn/kfq/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8</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乌鲁木齐</w:t>
            </w:r>
            <w:r>
              <w:rPr>
                <w:rFonts w:ascii="仿宋" w:eastAsia="仿宋" w:hAnsi="仿宋" w:cs="仿宋"/>
                <w:sz w:val="32"/>
                <w:szCs w:val="32"/>
              </w:rPr>
              <w:t>高新区</w:t>
            </w:r>
            <w:r w:rsidR="00D35DE2">
              <w:rPr>
                <w:rFonts w:ascii="仿宋" w:eastAsia="仿宋" w:hAnsi="仿宋" w:cs="仿宋"/>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https://xinjiang.chinatax.gov.cn/gxq/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9</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喀什</w:t>
            </w:r>
            <w:r>
              <w:rPr>
                <w:rFonts w:ascii="仿宋" w:eastAsia="仿宋" w:hAnsi="仿宋" w:cs="仿宋"/>
                <w:sz w:val="32"/>
                <w:szCs w:val="32"/>
              </w:rPr>
              <w:t>经开区</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https://xinjiang.chinatax.gov.cn/ksjj/</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lastRenderedPageBreak/>
              <w:t>10</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乌鲁木齐</w:t>
            </w:r>
            <w:r>
              <w:rPr>
                <w:rFonts w:ascii="仿宋" w:eastAsia="仿宋" w:hAnsi="仿宋" w:cs="仿宋"/>
                <w:sz w:val="32"/>
                <w:szCs w:val="32"/>
              </w:rPr>
              <w:t>甘泉堡</w:t>
            </w:r>
            <w:r>
              <w:rPr>
                <w:rFonts w:ascii="仿宋" w:eastAsia="仿宋" w:hAnsi="仿宋" w:cs="仿宋" w:hint="eastAsia"/>
                <w:sz w:val="32"/>
                <w:szCs w:val="32"/>
              </w:rPr>
              <w:t>开发区</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https://xinjiang.chinatax.gov.cn/gqp/</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11</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可克达拉</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https://xinjiang.chinatax.gov.cn/kkdl/</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12</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准东</w:t>
            </w:r>
            <w:r>
              <w:rPr>
                <w:rFonts w:ascii="仿宋" w:eastAsia="仿宋" w:hAnsi="仿宋" w:cs="仿宋"/>
                <w:sz w:val="32"/>
                <w:szCs w:val="32"/>
              </w:rPr>
              <w:t>开发区</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https://xinjiang.chinatax.gov.cn/zdkfq/</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13</w:t>
            </w:r>
          </w:p>
        </w:tc>
        <w:tc>
          <w:tcPr>
            <w:tcW w:w="1689" w:type="pct"/>
            <w:vAlign w:val="center"/>
          </w:tcPr>
          <w:p w:rsidR="000071AB" w:rsidRDefault="007417CC">
            <w:pPr>
              <w:jc w:val="center"/>
              <w:rPr>
                <w:rFonts w:ascii="仿宋" w:eastAsia="仿宋" w:hAnsi="仿宋" w:cs="仿宋"/>
                <w:sz w:val="32"/>
                <w:szCs w:val="32"/>
              </w:rPr>
            </w:pPr>
            <w:r>
              <w:rPr>
                <w:rFonts w:ascii="仿宋" w:eastAsia="仿宋" w:hAnsi="仿宋" w:cs="仿宋" w:hint="eastAsia"/>
                <w:sz w:val="32"/>
                <w:szCs w:val="32"/>
              </w:rPr>
              <w:t>昆玉</w:t>
            </w:r>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https://xinjiang.chinatax.gov.cn/ky/</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r w:rsidR="000071AB" w:rsidTr="007417CC">
        <w:trPr>
          <w:trHeight w:hRule="exact" w:val="567"/>
          <w:jc w:val="center"/>
        </w:trPr>
        <w:tc>
          <w:tcPr>
            <w:tcW w:w="333"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14</w:t>
            </w:r>
          </w:p>
        </w:tc>
        <w:tc>
          <w:tcPr>
            <w:tcW w:w="1689" w:type="pct"/>
            <w:vAlign w:val="center"/>
          </w:tcPr>
          <w:p w:rsidR="000071AB" w:rsidRDefault="007417CC">
            <w:pPr>
              <w:jc w:val="center"/>
              <w:rPr>
                <w:rFonts w:ascii="仿宋" w:eastAsia="仿宋" w:hAnsi="仿宋" w:cs="仿宋"/>
                <w:sz w:val="32"/>
                <w:szCs w:val="32"/>
              </w:rPr>
            </w:pPr>
            <w:proofErr w:type="gramStart"/>
            <w:r>
              <w:rPr>
                <w:rFonts w:ascii="仿宋" w:eastAsia="仿宋" w:hAnsi="仿宋" w:cs="仿宋" w:hint="eastAsia"/>
                <w:sz w:val="32"/>
                <w:szCs w:val="32"/>
              </w:rPr>
              <w:t>胡杨河</w:t>
            </w:r>
            <w:proofErr w:type="gramEnd"/>
            <w:r w:rsidR="00D35DE2">
              <w:rPr>
                <w:rFonts w:ascii="仿宋" w:eastAsia="仿宋" w:hAnsi="仿宋" w:cs="仿宋" w:hint="eastAsia"/>
                <w:sz w:val="32"/>
                <w:szCs w:val="32"/>
              </w:rPr>
              <w:t>税务局</w:t>
            </w:r>
          </w:p>
        </w:tc>
        <w:tc>
          <w:tcPr>
            <w:tcW w:w="2546" w:type="pct"/>
            <w:vAlign w:val="center"/>
          </w:tcPr>
          <w:p w:rsidR="000071AB" w:rsidRDefault="007417CC">
            <w:pPr>
              <w:jc w:val="center"/>
              <w:rPr>
                <w:rFonts w:ascii="仿宋" w:eastAsia="仿宋" w:hAnsi="仿宋" w:cs="仿宋"/>
                <w:sz w:val="32"/>
                <w:szCs w:val="32"/>
              </w:rPr>
            </w:pPr>
            <w:r w:rsidRPr="007417CC">
              <w:rPr>
                <w:rFonts w:ascii="仿宋" w:eastAsia="仿宋" w:hAnsi="仿宋" w:cs="仿宋"/>
                <w:sz w:val="32"/>
                <w:szCs w:val="32"/>
              </w:rPr>
              <w:t>https://xinjiang.chinatax.gov.cn/hyh/</w:t>
            </w:r>
          </w:p>
        </w:tc>
        <w:tc>
          <w:tcPr>
            <w:tcW w:w="432" w:type="pct"/>
            <w:vAlign w:val="center"/>
          </w:tcPr>
          <w:p w:rsidR="000071AB" w:rsidRDefault="00D35DE2">
            <w:pPr>
              <w:jc w:val="center"/>
              <w:rPr>
                <w:rFonts w:ascii="仿宋" w:eastAsia="仿宋" w:hAnsi="仿宋" w:cs="仿宋"/>
                <w:sz w:val="32"/>
                <w:szCs w:val="32"/>
              </w:rPr>
            </w:pPr>
            <w:r>
              <w:rPr>
                <w:rFonts w:ascii="仿宋" w:eastAsia="仿宋" w:hAnsi="仿宋" w:cs="仿宋" w:hint="eastAsia"/>
                <w:sz w:val="32"/>
                <w:szCs w:val="32"/>
              </w:rPr>
              <w:t>合格</w:t>
            </w:r>
          </w:p>
        </w:tc>
      </w:tr>
    </w:tbl>
    <w:p w:rsidR="000071AB" w:rsidRDefault="000071AB">
      <w:pPr>
        <w:ind w:right="960"/>
        <w:rPr>
          <w:rFonts w:ascii="仿宋" w:eastAsia="仿宋" w:hAnsi="仿宋" w:cs="仿宋"/>
          <w:sz w:val="32"/>
          <w:szCs w:val="32"/>
        </w:rPr>
      </w:pPr>
    </w:p>
    <w:sectPr w:rsidR="000071AB">
      <w:pgSz w:w="16838" w:h="11906" w:orient="landscape"/>
      <w:pgMar w:top="1752" w:right="1440" w:bottom="1752"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8D514A"/>
    <w:rsid w:val="000071AB"/>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17CC"/>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5DE2"/>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17AE2A0E"/>
    <w:rsid w:val="1FAF36DE"/>
    <w:rsid w:val="2FDE1E10"/>
    <w:rsid w:val="30EE68C2"/>
    <w:rsid w:val="33ED6A95"/>
    <w:rsid w:val="39CD4BD6"/>
    <w:rsid w:val="3A750A26"/>
    <w:rsid w:val="3AEE6B6C"/>
    <w:rsid w:val="407B1735"/>
    <w:rsid w:val="42C165A0"/>
    <w:rsid w:val="46853F0D"/>
    <w:rsid w:val="4B0630EC"/>
    <w:rsid w:val="504B7CD3"/>
    <w:rsid w:val="51B0041A"/>
    <w:rsid w:val="53D20FCB"/>
    <w:rsid w:val="5E7C26B2"/>
    <w:rsid w:val="5EFA5186"/>
    <w:rsid w:val="602D77F0"/>
    <w:rsid w:val="72372D9D"/>
    <w:rsid w:val="7F71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A00C"/>
  <w15:docId w15:val="{A17E5155-46DB-4F4A-B0AA-B54D26EF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Hyperlink"/>
    <w:rPr>
      <w:color w:val="0000FF"/>
      <w:u w:val="single"/>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Company>Www.SangSan.Cn</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dc:creator>admin</dc:creator>
  <cp:lastModifiedBy>桑三博客</cp:lastModifiedBy>
  <cp:revision>2</cp:revision>
  <cp:lastPrinted>2017-03-08T08:52:00Z</cp:lastPrinted>
  <dcterms:created xsi:type="dcterms:W3CDTF">2022-12-29T02:56:00Z</dcterms:created>
  <dcterms:modified xsi:type="dcterms:W3CDTF">2022-12-29T02:56:00Z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F7BE277D0A62474CBCD6B7712E34EC74</vt:lpwstr>
  </property>
</Properties>
</file>