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0" w:rsidRDefault="0057086C" w:rsidP="005C4A10">
      <w:pPr>
        <w:spacing w:after="100" w:afterAutospacing="1"/>
        <w:ind w:firstLine="606"/>
        <w:jc w:val="center"/>
        <w:rPr>
          <w:rFonts w:ascii="华文中宋" w:eastAsia="华文中宋" w:hAnsi="华文中宋"/>
          <w:b/>
          <w:sz w:val="52"/>
          <w:szCs w:val="52"/>
        </w:rPr>
      </w:pPr>
      <w:r w:rsidRPr="009C08EA">
        <w:rPr>
          <w:rFonts w:ascii="华文中宋" w:eastAsia="华文中宋" w:hAnsi="华文中宋" w:hint="eastAsia"/>
          <w:b/>
          <w:sz w:val="52"/>
          <w:szCs w:val="52"/>
        </w:rPr>
        <w:t>五家渠</w:t>
      </w:r>
      <w:r w:rsidR="005C4A10">
        <w:rPr>
          <w:rFonts w:ascii="华文中宋" w:eastAsia="华文中宋" w:hAnsi="华文中宋" w:hint="eastAsia"/>
          <w:b/>
          <w:sz w:val="52"/>
          <w:szCs w:val="52"/>
        </w:rPr>
        <w:t>税务局稽查局</w:t>
      </w:r>
    </w:p>
    <w:p w:rsidR="005C4A10" w:rsidRDefault="005C4A10" w:rsidP="005C4A10">
      <w:pPr>
        <w:spacing w:after="100" w:afterAutospacing="1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 xml:space="preserve"> 税务行政处罚决定书</w:t>
      </w:r>
    </w:p>
    <w:p w:rsidR="005C4A10" w:rsidRDefault="00914960" w:rsidP="005C4A10"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 w:rsidRPr="009149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4pt;margin-top:34pt;width:447.85pt;height:0;z-index:251660288" o:connectortype="straight" strokeweight="3.25pt"/>
        </w:pict>
      </w:r>
      <w:r w:rsidR="00535372">
        <w:rPr>
          <w:rFonts w:ascii="仿宋_GB2312" w:eastAsia="仿宋_GB2312" w:hAnsi="华文仿宋" w:hint="eastAsia"/>
          <w:spacing w:val="20"/>
          <w:sz w:val="32"/>
          <w:szCs w:val="32"/>
        </w:rPr>
        <w:t>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税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稽罚〔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201</w:t>
      </w:r>
      <w:r w:rsidR="00507A08">
        <w:rPr>
          <w:rFonts w:ascii="仿宋_GB2312" w:eastAsia="仿宋_GB2312" w:hAnsi="华文仿宋" w:hint="eastAsia"/>
          <w:spacing w:val="20"/>
          <w:sz w:val="32"/>
          <w:szCs w:val="32"/>
        </w:rPr>
        <w:t>9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〕</w:t>
      </w:r>
      <w:r w:rsidR="00B32C14">
        <w:rPr>
          <w:rFonts w:ascii="仿宋_GB2312" w:eastAsia="仿宋_GB2312" w:hAnsi="华文仿宋" w:hint="eastAsia"/>
          <w:spacing w:val="20"/>
          <w:sz w:val="32"/>
          <w:szCs w:val="32"/>
        </w:rPr>
        <w:t>4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号</w:t>
      </w:r>
    </w:p>
    <w:p w:rsidR="005C4A10" w:rsidRDefault="005C4A10" w:rsidP="005C4A10">
      <w:pPr>
        <w:spacing w:after="100" w:afterAutospacing="1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关于对</w:t>
      </w:r>
      <w:r w:rsidR="00B32C14">
        <w:rPr>
          <w:rFonts w:ascii="华文中宋" w:eastAsia="华文中宋" w:hAnsi="华文中宋" w:hint="eastAsia"/>
          <w:b/>
          <w:sz w:val="44"/>
          <w:szCs w:val="44"/>
        </w:rPr>
        <w:t>新疆开利星空汽车销售服务有限公司</w:t>
      </w:r>
      <w:r>
        <w:rPr>
          <w:rFonts w:ascii="华文中宋" w:eastAsia="华文中宋" w:hAnsi="华文中宋" w:hint="eastAsia"/>
          <w:b/>
          <w:sz w:val="44"/>
          <w:szCs w:val="44"/>
        </w:rPr>
        <w:t>的税务行政处罚决定</w:t>
      </w:r>
    </w:p>
    <w:p w:rsidR="00507A08" w:rsidRPr="008F3A56" w:rsidRDefault="00B32C14" w:rsidP="00507A08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</w:rPr>
        <w:t>新疆开利星空汽车销售服务有限公司</w:t>
      </w:r>
      <w:r w:rsidR="00507A08" w:rsidRPr="008F3A56">
        <w:rPr>
          <w:rFonts w:ascii="仿宋_GB2312" w:eastAsia="仿宋_GB2312" w:hint="eastAsia"/>
          <w:sz w:val="32"/>
          <w:szCs w:val="32"/>
        </w:rPr>
        <w:t>：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经我局</w:t>
      </w:r>
      <w:r w:rsidRPr="009C08EA">
        <w:rPr>
          <w:rFonts w:ascii="仿宋_GB2312" w:eastAsia="仿宋_GB2312" w:hint="eastAsia"/>
          <w:sz w:val="32"/>
          <w:szCs w:val="32"/>
        </w:rPr>
        <w:t>对你</w:t>
      </w:r>
      <w:r w:rsidR="00C8295C">
        <w:rPr>
          <w:rFonts w:ascii="仿宋_GB2312" w:eastAsia="仿宋_GB2312" w:hint="eastAsia"/>
          <w:sz w:val="32"/>
          <w:szCs w:val="32"/>
        </w:rPr>
        <w:t>公司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2015年1月1日至2018年12月31日</w:t>
      </w:r>
      <w:r w:rsidR="00C8295C">
        <w:rPr>
          <w:rFonts w:ascii="仿宋_GB2312" w:eastAsia="仿宋_GB2312" w:hint="eastAsia"/>
          <w:sz w:val="32"/>
          <w:szCs w:val="32"/>
        </w:rPr>
        <w:t>涉税情况进行检查。</w:t>
      </w:r>
      <w:r>
        <w:rPr>
          <w:rFonts w:ascii="仿宋_GB2312" w:eastAsia="仿宋_GB2312" w:hint="eastAsia"/>
          <w:sz w:val="32"/>
        </w:rPr>
        <w:t>进行检查</w:t>
      </w:r>
      <w:r w:rsidRPr="009C08EA">
        <w:rPr>
          <w:rFonts w:ascii="仿宋_GB2312" w:eastAsia="仿宋_GB2312" w:hint="eastAsia"/>
          <w:sz w:val="32"/>
          <w:szCs w:val="32"/>
        </w:rPr>
        <w:t>核实</w:t>
      </w:r>
      <w:r>
        <w:rPr>
          <w:rFonts w:ascii="仿宋_GB2312" w:eastAsia="仿宋_GB2312" w:hint="eastAsia"/>
          <w:sz w:val="32"/>
          <w:szCs w:val="32"/>
        </w:rPr>
        <w:t>，你单位存在违法事实及处罚决定如下：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一、违法事实</w:t>
      </w:r>
    </w:p>
    <w:p w:rsidR="00E84D18" w:rsidRDefault="00E84D18" w:rsidP="00E84D1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你公司自2016年5月开始为李淬等9人代发工资，编制“两套工资表”。自2016年10月起利用开源恒基房产公司“开具收据”的方式，将李淬等9人部分工资转入李淬等人的个人帐户的同时虚假计入你公司“其他应收款”科目，隐瞒李淬等人实际工资，未足额代扣代缴个人所得税。</w:t>
      </w:r>
    </w:p>
    <w:p w:rsidR="00507A08" w:rsidRPr="00E84D18" w:rsidRDefault="00E84D18" w:rsidP="00E84D1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根据《全国人民代表大会常务委员会关于修改《中华人民共和国个人所得税法》的决定(中华人民共和国主席令第四十八号) 的规定，“第一条 在中国境内有住所，或者无住所而在境内居住满一年的个人，从中国境内和境外取得的所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得，依照本法规定缴纳个人所得税。第二条 下列各项个人所得，应纳个人所得税：一、工资、薪金所得；第三条 个人所得税的税率：一、工资、薪金所得，适用超额累进税率，税率为百分之三至百分之四十五；第六条 应纳税所得额的计算：一、工资、薪金所得，以每月收入额减除费用三千五百元后的余额，为应纳税所得额。第八条 个人所得税，以所得人为纳税义务人，以支付所得的单位或者个人为扣缴义务人。个人所得超过国务院规定数额的，在两处以上取得工资、薪金所得或者没有扣缴义务人的，以及具有国务院规定的其他情形的，纳税义务人应当按照国家规定办理纳税申报。扣缴义务人应当按照国家规定办理全员全额扣缴申报。第九条 扣缴义务人每月所扣的税款，自行申报纳税人每月应纳的税款，都应当在次月十五日内缴入国库，并向税务机关报送纳税申报表。工资、薪金所得应纳的税款，按月计征，由扣缴义务人或者纳税义务人在次月十五日内缴入国库，并向税务机关报送纳税申报表。”之规定，你公司未履行个人所得税扣缴义务，造成上述人员部分个人所得税应扣未扣的违法事实清楚，证据确凿。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二、处罚决定</w:t>
      </w:r>
    </w:p>
    <w:p w:rsidR="00E84D18" w:rsidRDefault="00E84D18" w:rsidP="00E84D1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</w:rPr>
      </w:pPr>
      <w:r w:rsidRPr="00611E15">
        <w:rPr>
          <w:rFonts w:ascii="仿宋_GB2312" w:eastAsia="仿宋_GB2312" w:hint="eastAsia"/>
          <w:sz w:val="32"/>
          <w:szCs w:val="32"/>
        </w:rPr>
        <w:t>根据《中华人民共和国税收》第六十九条“扣缴义务人应扣未扣、应收未收税款的，由税务机关向纳税人追缴税款，对扣缴义务人处应扣未扣、应收未收税款百分之五十以上三</w:t>
      </w:r>
      <w:r w:rsidRPr="00611E15">
        <w:rPr>
          <w:rFonts w:ascii="仿宋_GB2312" w:eastAsia="仿宋_GB2312" w:hint="eastAsia"/>
          <w:sz w:val="32"/>
          <w:szCs w:val="32"/>
        </w:rPr>
        <w:lastRenderedPageBreak/>
        <w:t>倍</w:t>
      </w:r>
      <w:r>
        <w:rPr>
          <w:rFonts w:ascii="仿宋_GB2312" w:eastAsia="仿宋_GB2312" w:hint="eastAsia"/>
          <w:sz w:val="32"/>
          <w:szCs w:val="32"/>
        </w:rPr>
        <w:t>以下的罚款”</w:t>
      </w:r>
      <w:r w:rsidRPr="00DE1D23">
        <w:rPr>
          <w:rFonts w:ascii="仿宋_GB2312" w:eastAsia="仿宋_GB2312" w:hAnsi="Calibri" w:cs="Times New Roman" w:hint="eastAsia"/>
          <w:sz w:val="32"/>
        </w:rPr>
        <w:t>之规定。</w:t>
      </w:r>
    </w:p>
    <w:p w:rsidR="00E84D18" w:rsidRPr="000C6C60" w:rsidRDefault="00E84D18" w:rsidP="00E84D18">
      <w:pPr>
        <w:snapToGrid w:val="0"/>
        <w:spacing w:line="6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对你公司处应扣未扣个人所得税1倍的罚款，即</w:t>
      </w:r>
      <w:r>
        <w:rPr>
          <w:rFonts w:ascii="仿宋_GB2312" w:eastAsia="仿宋_GB2312" w:hAnsi="宋体" w:hint="eastAsia"/>
          <w:sz w:val="32"/>
          <w:szCs w:val="32"/>
        </w:rPr>
        <w:t>278841.25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507A08" w:rsidRPr="006B13A1" w:rsidRDefault="00507A08" w:rsidP="00507A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限你公司自本决定书送达之日起</w:t>
      </w:r>
      <w:r w:rsidRPr="00980A65">
        <w:rPr>
          <w:rFonts w:ascii="仿宋_GB2312" w:eastAsia="仿宋_GB2312" w:hAnsi="仿宋" w:hint="eastAsia"/>
          <w:bCs/>
          <w:color w:val="000000"/>
          <w:sz w:val="32"/>
          <w:szCs w:val="32"/>
        </w:rPr>
        <w:t>十五日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到</w:t>
      </w:r>
      <w:r w:rsidRPr="009C08EA">
        <w:rPr>
          <w:rFonts w:ascii="仿宋_GB2312" w:eastAsia="仿宋_GB2312" w:hint="eastAsia"/>
          <w:sz w:val="32"/>
          <w:szCs w:val="32"/>
        </w:rPr>
        <w:t>五家渠税务局</w:t>
      </w:r>
      <w:r>
        <w:rPr>
          <w:rFonts w:ascii="仿宋_GB2312" w:eastAsia="仿宋_GB2312" w:hint="eastAsia"/>
          <w:sz w:val="32"/>
          <w:szCs w:val="32"/>
        </w:rPr>
        <w:t>纳税服务科缴纳入库。到期不缴纳罚款，我局将依照《中华人民共和国行政处罚法》第五十一条第（一）项规定，每日按罚款数额的百分之三加处罚款。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如对本决定不服，可以自收到本决定书之日起六十日内依法向</w:t>
      </w:r>
      <w:r w:rsidRPr="009C08EA">
        <w:rPr>
          <w:rFonts w:ascii="仿宋_GB2312" w:eastAsia="仿宋_GB2312" w:hint="eastAsia"/>
          <w:sz w:val="32"/>
          <w:szCs w:val="32"/>
        </w:rPr>
        <w:t>五家渠税务局</w:t>
      </w:r>
      <w:r>
        <w:rPr>
          <w:rFonts w:ascii="仿宋_GB2312" w:eastAsia="仿宋_GB2312" w:hint="eastAsia"/>
          <w:sz w:val="32"/>
          <w:szCs w:val="32"/>
        </w:rPr>
        <w:t>申请行政复议，或者自收到本决定书之日起三个月内依法向人民法院起诉。如对处罚决定逾期不申请复议也不向人民法院起诉、又不履行的，我局将采取《中华人民共和国税收征收管理法》第四十条规定的强制执行措施，或者申请人民法院强制执行。</w:t>
      </w:r>
    </w:p>
    <w:p w:rsidR="00507A08" w:rsidRDefault="00507A08" w:rsidP="00507A08">
      <w:pPr>
        <w:spacing w:line="360" w:lineRule="auto"/>
        <w:ind w:firstLineChars="196" w:firstLine="630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</w:p>
    <w:p w:rsidR="00507A08" w:rsidRDefault="00507A08" w:rsidP="00507A0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 xml:space="preserve">   </w:t>
      </w:r>
    </w:p>
    <w:p w:rsidR="00507A08" w:rsidRDefault="00507A08" w:rsidP="00507A08">
      <w:pPr>
        <w:spacing w:line="360" w:lineRule="auto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五家渠税务局稽查局</w:t>
      </w:r>
    </w:p>
    <w:p w:rsidR="00507A08" w:rsidRPr="004475E9" w:rsidRDefault="00507A08" w:rsidP="00507A08">
      <w:pPr>
        <w:spacing w:line="360" w:lineRule="auto"/>
        <w:ind w:firstLineChars="1400" w:firstLine="4480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E84D1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E84D18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86A7A" w:rsidRPr="004475E9" w:rsidRDefault="00986A7A" w:rsidP="00507A0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sectPr w:rsidR="00986A7A" w:rsidRPr="004475E9" w:rsidSect="00A976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1F" w:rsidRDefault="00E6351F" w:rsidP="005C4A10">
      <w:r>
        <w:separator/>
      </w:r>
    </w:p>
  </w:endnote>
  <w:endnote w:type="continuationSeparator" w:id="1">
    <w:p w:rsidR="00E6351F" w:rsidRDefault="00E6351F" w:rsidP="005C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17"/>
      <w:docPartObj>
        <w:docPartGallery w:val="Page Numbers (Bottom of Page)"/>
        <w:docPartUnique/>
      </w:docPartObj>
    </w:sdtPr>
    <w:sdtContent>
      <w:p w:rsidR="00C77493" w:rsidRDefault="00C77493">
        <w:pPr>
          <w:pStyle w:val="a4"/>
        </w:pPr>
        <w:fldSimple w:instr=" PAGE   \* MERGEFORMAT ">
          <w:r w:rsidRPr="00C77493">
            <w:rPr>
              <w:noProof/>
              <w:lang w:val="zh-CN"/>
            </w:rPr>
            <w:t>2</w:t>
          </w:r>
        </w:fldSimple>
      </w:p>
    </w:sdtContent>
  </w:sdt>
  <w:p w:rsidR="00C77493" w:rsidRDefault="00C77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1F" w:rsidRDefault="00E6351F" w:rsidP="005C4A10">
      <w:r>
        <w:separator/>
      </w:r>
    </w:p>
  </w:footnote>
  <w:footnote w:type="continuationSeparator" w:id="1">
    <w:p w:rsidR="00E6351F" w:rsidRDefault="00E6351F" w:rsidP="005C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10"/>
    <w:rsid w:val="00024A6D"/>
    <w:rsid w:val="000D7F2E"/>
    <w:rsid w:val="0013573C"/>
    <w:rsid w:val="00177EDF"/>
    <w:rsid w:val="001A1D2B"/>
    <w:rsid w:val="00224D2E"/>
    <w:rsid w:val="002536C8"/>
    <w:rsid w:val="003039F6"/>
    <w:rsid w:val="003106E0"/>
    <w:rsid w:val="003830E7"/>
    <w:rsid w:val="003E3687"/>
    <w:rsid w:val="003F063C"/>
    <w:rsid w:val="004475E9"/>
    <w:rsid w:val="00505413"/>
    <w:rsid w:val="00507A08"/>
    <w:rsid w:val="00535372"/>
    <w:rsid w:val="0057086C"/>
    <w:rsid w:val="005C4A10"/>
    <w:rsid w:val="006554DB"/>
    <w:rsid w:val="00671E9C"/>
    <w:rsid w:val="00672E23"/>
    <w:rsid w:val="00683B11"/>
    <w:rsid w:val="006B13A1"/>
    <w:rsid w:val="006B2F20"/>
    <w:rsid w:val="0072026B"/>
    <w:rsid w:val="00771E4C"/>
    <w:rsid w:val="007C570B"/>
    <w:rsid w:val="007F31C8"/>
    <w:rsid w:val="00853D69"/>
    <w:rsid w:val="008878CD"/>
    <w:rsid w:val="008B5185"/>
    <w:rsid w:val="00914960"/>
    <w:rsid w:val="00914C7B"/>
    <w:rsid w:val="00970562"/>
    <w:rsid w:val="009841E3"/>
    <w:rsid w:val="00986A7A"/>
    <w:rsid w:val="009C08EA"/>
    <w:rsid w:val="00A976FC"/>
    <w:rsid w:val="00B32C14"/>
    <w:rsid w:val="00B44E97"/>
    <w:rsid w:val="00B6747F"/>
    <w:rsid w:val="00C11844"/>
    <w:rsid w:val="00C77493"/>
    <w:rsid w:val="00C8295C"/>
    <w:rsid w:val="00CA664D"/>
    <w:rsid w:val="00CE764C"/>
    <w:rsid w:val="00D15AEF"/>
    <w:rsid w:val="00D16109"/>
    <w:rsid w:val="00D61713"/>
    <w:rsid w:val="00D9577F"/>
    <w:rsid w:val="00E50740"/>
    <w:rsid w:val="00E6351F"/>
    <w:rsid w:val="00E84D18"/>
    <w:rsid w:val="00EE6D70"/>
    <w:rsid w:val="00F157EB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A10"/>
    <w:rPr>
      <w:sz w:val="18"/>
      <w:szCs w:val="18"/>
    </w:rPr>
  </w:style>
  <w:style w:type="paragraph" w:customStyle="1" w:styleId="Char1">
    <w:name w:val="Char1"/>
    <w:basedOn w:val="a"/>
    <w:rsid w:val="008B518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0"/>
      <w:szCs w:val="20"/>
      <w:lang w:eastAsia="en-US"/>
    </w:rPr>
  </w:style>
  <w:style w:type="paragraph" w:styleId="a5">
    <w:name w:val="Normal (Web)"/>
    <w:basedOn w:val="a"/>
    <w:rsid w:val="00507A0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6">
    <w:name w:val="Body Text"/>
    <w:basedOn w:val="a"/>
    <w:link w:val="Char2"/>
    <w:qFormat/>
    <w:rsid w:val="00C829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rsid w:val="00C8295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吴亮</dc:creator>
  <cp:keywords/>
  <dc:description/>
  <cp:lastModifiedBy>吴亮</cp:lastModifiedBy>
  <cp:revision>35</cp:revision>
  <dcterms:created xsi:type="dcterms:W3CDTF">2018-05-24T02:16:00Z</dcterms:created>
  <dcterms:modified xsi:type="dcterms:W3CDTF">2019-06-28T09:51:00Z</dcterms:modified>
</cp:coreProperties>
</file>