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国家税务总局图木舒克税务局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tabs>
          <w:tab w:val="left" w:pos="7935"/>
        </w:tabs>
        <w:spacing w:before="100" w:beforeAutospacing="1" w:after="100" w:afterAutospacing="1"/>
        <w:jc w:val="left"/>
        <w:outlineLvl w:val="1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/>
          <w:b/>
          <w:kern w:val="0"/>
          <w:sz w:val="44"/>
          <w:szCs w:val="44"/>
        </w:rPr>
        <w:tab/>
      </w:r>
    </w:p>
    <w:p>
      <w:pPr>
        <w:widowControl/>
        <w:spacing w:before="100" w:beforeAutospacing="1" w:after="100" w:afterAutospacing="1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50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50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图木舒克税务局单位概况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一、关于图木舒克税务局2020年收支预算情况的总体说明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二、关于图木舒克税务局2020年收入预算情况说明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三、关于图木舒克税务局2020年支出预算情况说明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图木舒克税务局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2020年财政拨款收支预算情况的总体说明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五、关于图木舒克税务局2020年一般公共预算当年拨款情况说明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六、关于图木舒克税务局2020年一般公共预算基本支出情况说明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七、关于图木舒克税务局2020年项目支出情况说明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八、关于图木舒克税务局2020年一般公共预算“三公”经费预算情况说明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九、关于图木舒克税务局2020年政府性基金预算拨款情况说明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图木舒克</w:t>
      </w:r>
      <w:r>
        <w:rPr>
          <w:rFonts w:hint="eastAsia" w:ascii="黑体" w:hAnsi="黑体" w:eastAsia="黑体"/>
          <w:kern w:val="0"/>
          <w:sz w:val="32"/>
          <w:szCs w:val="32"/>
        </w:rPr>
        <w:t>税务局单位概况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负责贯彻执行党的路线、方针、政策，加强党的全面领导，履行全面从严治党责任，负责党的建设和思想政治建设工作。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负责贯彻执行税收、社会保险费和有关非税收入法律、法规、规章和规范性文件，研究制定具体实施办法。组织落实国家规定的税收优惠政策。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研究拟定本系统税收、社会保险费和有关非税收入中长期规划，参与拟定税收、社会保险费和有关非税收入预算目标并依法组织实施。负责本系统税收、社会保险费和有关非税收入的会统核算工作。组织开展收入分析预测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负责开展税收经济分析和税收政策效应分析，为国家税务总局和自治区党委、政府提供决策参考。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负责所辖区域内各项税收、社会保险费和有关非税收入征收管理。组织实施税（费）源监控和风险管理，加强大企业和自然人税（费）管理。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本系统税收、社会保险费和有关非税收入服务体系建设。组织开展纳税服务、税收宣传工作，保护纳税人、缴费人合法权益。承担涉及税收、社会保险费和有关非税收入的行政处罚听证、行政复议和行政诉讼事项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负责所辖区域内国际税收和进出口税收管理工作，组织反避税调查和出口退税事项办理。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负责组织实施所辖区域内税务稽查和社会保险费、有关非税收入检查工作。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负责增值税专用发票、普通发票和其他各类发票管理。负责税收、社会保险费和有关非税收入票证管理。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负责组织实施本系统各项税收、社会保险费和有关非税收入征管信息化建设和数据治理工作。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负责本系统内部控制机制建设工作，开展对本系统贯彻执行党中央、国务院重大决策及上级工作部署情况的督查督办，组织实施税收执行法督察。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负责本系统基层建设和队伍建设工作，加强领导班子和后备干部队伍建设，承担税务人才培养和干部教育培训工作。负责本系统绩效管理和干部考核工作。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负责本系统机构、编制、经费和资产管理工作。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完成新疆维吾尔自治区税务局和图木舒克市党委、政府交办的其他工作。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从预算单位构成看，图木舒克税务局的部门预算包括：图木舒克税务局部门本级预算。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图木舒克税务局，设11个内设机构、3个派出机构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，1个事业单位，分别是：</w:t>
      </w:r>
    </w:p>
    <w:p>
      <w:pPr>
        <w:pStyle w:val="23"/>
        <w:snapToGri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（一）内设机构</w:t>
      </w:r>
      <w:r>
        <w:rPr>
          <w:rFonts w:hint="eastAsia"/>
          <w:sz w:val="32"/>
          <w:szCs w:val="32"/>
        </w:rPr>
        <w:t>：</w:t>
      </w:r>
      <w:r>
        <w:rPr>
          <w:rFonts w:hint="eastAsia" w:hAnsi="宋体" w:cs="宋体"/>
          <w:sz w:val="32"/>
          <w:szCs w:val="32"/>
        </w:rPr>
        <w:t>办公室、法制科、社会保险费和非税收入科、纳税服务科、征收管理科、收入核算科、税源管理科、风险管理科、人事教育科、机关党委（党建工作科）、纪检组</w:t>
      </w:r>
      <w:r>
        <w:rPr>
          <w:rFonts w:hint="eastAsia"/>
          <w:sz w:val="32"/>
          <w:szCs w:val="32"/>
        </w:rPr>
        <w:t>。</w:t>
      </w:r>
    </w:p>
    <w:p>
      <w:pPr>
        <w:pStyle w:val="23"/>
        <w:snapToGri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（二）派出机构</w:t>
      </w:r>
      <w:r>
        <w:rPr>
          <w:rFonts w:hint="eastAsia"/>
          <w:sz w:val="32"/>
          <w:szCs w:val="32"/>
        </w:rPr>
        <w:t>：第一税务所（办税服务厅）、稽查局、草湖税务所。</w:t>
      </w:r>
    </w:p>
    <w:p>
      <w:pPr>
        <w:pStyle w:val="23"/>
        <w:snapToGri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（三）事业单位</w:t>
      </w:r>
      <w:r>
        <w:rPr>
          <w:rFonts w:hint="eastAsia"/>
          <w:sz w:val="32"/>
          <w:szCs w:val="32"/>
        </w:rPr>
        <w:t>：信息中心。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图木舒克税务局编制人数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75人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，实有人数73人，其中：在职73人；退休8人。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 图木舒克税务局                                      单位：万元</w:t>
      </w:r>
    </w:p>
    <w:tbl>
      <w:tblPr>
        <w:tblStyle w:val="12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36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36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  图木舒克税务局                                       单位：万元</w:t>
      </w:r>
    </w:p>
    <w:tbl>
      <w:tblPr>
        <w:tblStyle w:val="12"/>
        <w:tblW w:w="10339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596"/>
        <w:gridCol w:w="975"/>
        <w:gridCol w:w="975"/>
        <w:gridCol w:w="680"/>
        <w:gridCol w:w="680"/>
        <w:gridCol w:w="680"/>
        <w:gridCol w:w="680"/>
        <w:gridCol w:w="680"/>
        <w:gridCol w:w="9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税收事务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事业运行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行政事业单位养老支出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行政单位离退休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28.80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22.19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编制部门：图木舒克税务局                                         单位：万元</w:t>
      </w:r>
    </w:p>
    <w:tbl>
      <w:tblPr>
        <w:tblStyle w:val="12"/>
        <w:tblW w:w="22344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00"/>
        <w:gridCol w:w="400"/>
        <w:gridCol w:w="2576"/>
        <w:gridCol w:w="1836"/>
        <w:gridCol w:w="1837"/>
        <w:gridCol w:w="1885"/>
        <w:gridCol w:w="2154"/>
        <w:gridCol w:w="2154"/>
        <w:gridCol w:w="2154"/>
        <w:gridCol w:w="2154"/>
        <w:gridCol w:w="2154"/>
        <w:gridCol w:w="2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345" w:hRule="atLeast"/>
        </w:trPr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80" w:hRule="atLeast"/>
        </w:trPr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27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15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15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15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15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15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  <w:tc>
          <w:tcPr>
            <w:tcW w:w="215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税收事务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事业运行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行政事业单位养老支出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行政单位离退休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20.29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20.29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36.52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36.52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28.80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28.80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360"/>
              <w:jc w:val="right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36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22.19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22.19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360"/>
              <w:jc w:val="right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360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24" w:type="dxa"/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</w:rPr>
        <w:t>图木舒克税务局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单位：万元</w:t>
      </w:r>
    </w:p>
    <w:tbl>
      <w:tblPr>
        <w:tblStyle w:val="12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2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图木舒克税务局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　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税收事务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0" w:hanging="1100" w:hangingChars="5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　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行政事业单位养老支出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0" w:hanging="1100" w:hangingChars="5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行政单位离退休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　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0" w:hanging="1100" w:hangingChars="5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　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0" w:hanging="1100" w:hangingChars="5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　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36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360"/>
              <w:jc w:val="center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0" w:hanging="1100" w:hangingChars="5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　         </w:t>
            </w: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2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图木舒克税务局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452.12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317.05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317.05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城镇职工基本医疗保险缴费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其他工资福利支出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医疗费补助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　 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479.75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80" w:firstLineChars="600"/>
              <w:jc w:val="left"/>
            </w:pPr>
            <w:r>
              <w:rPr>
                <w:rFonts w:hint="eastAsia"/>
                <w:sz w:val="18"/>
                <w:szCs w:val="18"/>
              </w:rPr>
              <w:t>0 .0</w:t>
            </w:r>
            <w:r>
              <w:rPr>
                <w:rFonts w:hint="eastAsia"/>
              </w:rPr>
              <w:t>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2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图木舒克税务局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备注：2020年初自治区财政未安排税务部门项目支出预算，项目支出情况表为空表。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编制单位：图木舒克税务局                                         单位：万元</w:t>
      </w:r>
    </w:p>
    <w:tbl>
      <w:tblPr>
        <w:tblStyle w:val="12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备注：根据自治区人民政府办公厅转发的《税务部门经费保障实施细则（试行）》，2020年自治区财政未安排税务部门“三公”支出预算，一般公共预算“三公”经费支出情况表为空表。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编制单位：图木舒克税务局                                         单位：万元</w:t>
      </w:r>
    </w:p>
    <w:tbl>
      <w:tblPr>
        <w:tblStyle w:val="12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备注：2020年初自治区财政未安排税务部门政府性基金支出预算，政府性基金预算支出情况表为空表。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关于图木舒克税务局2020年收支预算情况的总体说明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按照全口径预算的原则，新疆税务局2020年所有收入和支出均纳入部门预算管理。收支总预算479.75万元。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支出预算包括：一般公共服务支出、社会保障和就业支出、卫生健康支出、住房保障支出等。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二、关于图木舒克税务局2020年收入预算情况说明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图木舒克税务局收入预算479.75万元，其中：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一般公共预算479.75万元，比上年减少14.89万元，主要原因是养老保险缴费比例下调以及在职人员存在变动情况。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三、关于图木舒克税务局2020年支出预算情况说明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图木舒克税务局2020年支出预算479.75万元，其中：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基本支出479.75万元，占100%，比上年减少14.89万元，主要原因是养老保险缴费比例下调以及在职人员存在变动情况。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项目支出0万元，占0 %，比上年增加（减少）0万元，主要原因是2019年初和2020年初未安排项目支出预算。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</w:rPr>
        <w:t>图木舒克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税务局2020年财政拨款收支预算情况的总体说明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2020年财政拨款收支总预算479.75万元。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333.90万元，主要用于发放在职人员地方津补贴和保留地区补贴；社会保障和就业支出56.81万元，主要用于养老保险缴费和离退休人员经费；卫生健康支出50.99万元，主要用于职工基本医疗保险缴费、公务员医疗补助及生育保险；住房保障支出38.05万元，主要用于公积金缴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五、关于图木舒克税务局2020年一般公共预算当年拨款情况说明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图木舒克税务局2020年一般公共预算拨款基本支出479.75万元，比上年执行数减少132.265万元，下降21.61%。主要原因是：2019年追加绩效考核奖2020年初暂未安排预算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1.一般公共服务（类）333.90万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元，占69.6%。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社会保障和就业支出（类）56.81万元，占11.84％。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3.卫生健康支出（类）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50.99万元，占10.63％。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4.住房保障支出（类）38.05万元，占7.93％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1.一般公共服务（类）税收事务（款）行政运行（项）：2020年预算数为333.90万元，比上年执行数减少120.675万元，下降26.55％，主要原因是2019年追加绩效考核奖2020年初暂未安排预算。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社会保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障和就业支出（类）行政事业单位养老支出（款）机关事业单位基本养老保险缴费支出（项）：2020年预算数为56.81年执行数减少3.48万元，降低5.77％，主要原因是在职人员存在变动情况。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卫生健康支出（类）行政事业单位医疗（款）行政单位医疗（项）、卫生健康支出（类）行政事业单位医疗（款）公务员医疗补助（项）、卫生健康支出（类）行政事业单位医疗（款）其他社会保障缴费_生育保险（项）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2020年预算数为50.99万元，比上年执行数减少1.09万元，降低2.09％，主要原因是在职人员存在变动情况。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住房保障支出（类）住房改革支出（款）住房公积金（项），2020年预算数为38.05万元，比上年减少0.74万元，降低1.9％，主要原因是在职人员存在变动情况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六、关于图木舒克税务局2020年一般公共预算基本支出情况说明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图木舒克税务局2020年一般公共预算基本支出479.75万元，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472.41万元，主要包括：津贴补贴、机关事业单位基本养老保险缴费、职工基本医疗保险缴费、公务员医疗补助缴费、其他社会保障缴费、住房公积金、医疗费、其他工资福利支出、离休费、退休费、医疗费补助、其他对个人和家庭的补助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公用经费7.34万元，主要包括：取暖费（职工取暖费补助）。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七、关于图木舒克税务局2020年项目支出情况说明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2020年初自治区财政未安排税务部门项目支出预算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八、关于图木舒克税务局2020年一般公共预算“三公”经费预算情况说明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图木舒克税务局2020年“三公”经费财政拨款预算数为0万元，其中：因公出国（境）费0万元，公务用车购置0万元，公务用车运行费0万元，公务接待费0万元。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（减少）0万元，其中：因公出国（境）费增加（减少）0万元，主要原因是2019-2020年未安排预算；公务用车购置费为0万元，未安排预算；公务用车运行费增加（减少）0万元，主要原因是2019-2020年未安排预算；公务接待费增加（减少）0万元，主要原因是2019-2020年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九、关于图木舒克税务局2020年政府性基金预算拨款情况说明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图木舒克税务局2020年没有使用政府性基金预算拨款安排的支出，政府性基金预算支出情况表为空表。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图木舒克税务局机关运行经费财政拨款预算0万元，比上年预算增加（减少）0万元，增长（下降）0%。主要原因是根据自治区人民政府办公厅转发的《税务部门经费保障实施细则（试行）》，自治区财政不保障税务部门机关运行经费，2019-2020年未安排预算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2020年，图木舒克税务局及下属单位政府采购预算 0万元，其中：政府采购货物预算0万元，政府采购工程预算0万元，政府采购服务预算0万元。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截至2019年底，图木舒克税务局及下属各预算单位占用使用国有资产总体情况为：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2.车辆0辆，价值0万元；其中：一般公务用车0辆，价值0万元；执法执勤用车0辆，价值0万元；其他车辆0辆，价值0万元。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2020年部门预算未安排购置车辆经费，安排购置50万元以上大型设备0台（套），单位价值100万元以上大型设备0台（套）。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图木舒克税务局属中央预算单位，占有使用的国有资产不属于自治区本级国有资产,且2020年未安排资产购置预算。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2020年度，本年度实行绩效管理的项目0个，涉及预算金额0万元。2020年初自治区财政未安排税务部门项目支出预算，项目支出绩效目标表为空表。</w:t>
      </w:r>
    </w:p>
    <w:tbl>
      <w:tblPr>
        <w:tblStyle w:val="12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图木舒克税务局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国家税务总局图木舒克税务局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Utsaah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-ExtB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Utsaah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Utsaah">
    <w:panose1 w:val="020B0804020202020204"/>
    <w:charset w:val="00"/>
    <w:family w:val="auto"/>
    <w:pitch w:val="default"/>
    <w:sig w:usb0="00008003" w:usb1="00000000" w:usb2="00000000" w:usb3="00000000" w:csb0="00000001" w:csb1="00000000"/>
  </w:font>
  <w:font w:name="Utsaah">
    <w:panose1 w:val="020B0804020202020204"/>
    <w:charset w:val="01"/>
    <w:family w:val="swiss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01705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16 -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rPr>
        <w:lang w:val="zh-CN"/>
      </w:rP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6D"/>
    <w:rsid w:val="00054431"/>
    <w:rsid w:val="00087205"/>
    <w:rsid w:val="000A44E3"/>
    <w:rsid w:val="00171181"/>
    <w:rsid w:val="001F0327"/>
    <w:rsid w:val="002F0DBB"/>
    <w:rsid w:val="0032720E"/>
    <w:rsid w:val="003D3C38"/>
    <w:rsid w:val="0047516D"/>
    <w:rsid w:val="00511DE5"/>
    <w:rsid w:val="005C5575"/>
    <w:rsid w:val="005E7415"/>
    <w:rsid w:val="00603394"/>
    <w:rsid w:val="00681953"/>
    <w:rsid w:val="00696F99"/>
    <w:rsid w:val="00765A8D"/>
    <w:rsid w:val="007E3168"/>
    <w:rsid w:val="008177DD"/>
    <w:rsid w:val="00921F22"/>
    <w:rsid w:val="00963CC4"/>
    <w:rsid w:val="00B05E4D"/>
    <w:rsid w:val="00B17CDF"/>
    <w:rsid w:val="00BE385E"/>
    <w:rsid w:val="00CB4CFB"/>
    <w:rsid w:val="00D65805"/>
    <w:rsid w:val="00DF4CC6"/>
    <w:rsid w:val="00EF70C3"/>
    <w:rsid w:val="00FA6272"/>
    <w:rsid w:val="00FC6168"/>
    <w:rsid w:val="2F6C2D06"/>
    <w:rsid w:val="35F04C0E"/>
    <w:rsid w:val="3CCB1435"/>
    <w:rsid w:val="72C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24"/>
    <w:semiHidden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8"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endnote reference"/>
    <w:basedOn w:val="8"/>
    <w:semiHidden/>
    <w:unhideWhenUsed/>
    <w:uiPriority w:val="99"/>
    <w:rPr>
      <w:vertAlign w:val="superscript"/>
    </w:rPr>
  </w:style>
  <w:style w:type="character" w:styleId="11">
    <w:name w:val="page number"/>
    <w:basedOn w:val="8"/>
    <w:qFormat/>
    <w:uiPriority w:val="0"/>
  </w:style>
  <w:style w:type="table" w:styleId="13">
    <w:name w:val="Table Grid"/>
    <w:basedOn w:val="12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5"/>
    <w:uiPriority w:val="0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6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7">
    <w:name w:val="批注框文本 Char"/>
    <w:basedOn w:val="8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缩进 3 Char"/>
    <w:basedOn w:val="8"/>
    <w:link w:val="6"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普通(网站)1"/>
    <w:basedOn w:val="1"/>
    <w:uiPriority w:val="0"/>
    <w:rPr>
      <w:rFonts w:ascii="Calibri" w:hAnsi="Calibri" w:cs="黑体"/>
      <w:sz w:val="24"/>
    </w:rPr>
  </w:style>
  <w:style w:type="paragraph" w:customStyle="1" w:styleId="21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2">
    <w:name w:val="普通(网站)3"/>
    <w:basedOn w:val="1"/>
    <w:uiPriority w:val="0"/>
    <w:rPr>
      <w:rFonts w:ascii="Calibri" w:hAnsi="Calibri" w:cs="黑体"/>
      <w:sz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4">
    <w:name w:val="尾注文本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21</Pages>
  <Words>1766</Words>
  <Characters>10068</Characters>
  <Lines>83</Lines>
  <Paragraphs>23</Paragraphs>
  <TotalTime>33</TotalTime>
  <ScaleCrop>false</ScaleCrop>
  <LinksUpToDate>false</LinksUpToDate>
  <CharactersWithSpaces>11811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2020-02-03T05:57:00Z</dcterms:created>
  <dc:creator>陈青</dc:creator>
  <cp:lastModifiedBy>靳新亮</cp:lastModifiedBy>
  <cp:lastPrinted>2020-02-03T06:04:00Z</cp:lastPrinted>
  <dcterms:modified xsi:type="dcterms:W3CDTF">2020-02-03T09:49:58Z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