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国家税务总局图木舒克税务局稽查局2019年第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随机抽查事项清单</w:t>
      </w:r>
    </w:p>
    <w:tbl>
      <w:tblPr>
        <w:tblStyle w:val="2"/>
        <w:tblW w:w="9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874"/>
        <w:gridCol w:w="993"/>
        <w:gridCol w:w="1134"/>
        <w:gridCol w:w="1948"/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公示事项</w:t>
            </w:r>
          </w:p>
        </w:tc>
        <w:tc>
          <w:tcPr>
            <w:tcW w:w="833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随机抽查项目</w:t>
            </w:r>
          </w:p>
        </w:tc>
        <w:tc>
          <w:tcPr>
            <w:tcW w:w="833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税务稽查随机抽查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2019年第二批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随机抽查依据</w:t>
            </w:r>
          </w:p>
        </w:tc>
        <w:tc>
          <w:tcPr>
            <w:tcW w:w="1874" w:type="dxa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《中华人民共和国税收征收管理法》第五十四条、第五十七条、第五十八条</w:t>
            </w: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《国务院办公厅关于推广随机抽查规范事中事后监管的通知》（国办发〔2015〕58号）</w:t>
            </w:r>
          </w:p>
        </w:tc>
        <w:tc>
          <w:tcPr>
            <w:tcW w:w="1948" w:type="dxa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CN"/>
              </w:rPr>
              <w:t>推进税务稽查随机抽查实施方案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》（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eastAsia="zh-CN"/>
              </w:rPr>
              <w:t>税总发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〔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val="en-US" w:eastAsia="zh-CN"/>
              </w:rPr>
              <w:t>2015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〕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lang w:val="en-US" w:eastAsia="zh-CN"/>
              </w:rPr>
              <w:t>104号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）</w:t>
            </w:r>
          </w:p>
        </w:tc>
        <w:tc>
          <w:tcPr>
            <w:tcW w:w="2388" w:type="dxa"/>
            <w:tcMar>
              <w:left w:w="28" w:type="dxa"/>
              <w:right w:w="28" w:type="dxa"/>
            </w:tcMar>
            <w:vAlign w:val="top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根据新疆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维吾尔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自治区人民政府《关于印发推广随机抽查规范事中事后监管的通知》（新政办发〔2016〕17号文）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随机抽查主体</w:t>
            </w:r>
          </w:p>
        </w:tc>
        <w:tc>
          <w:tcPr>
            <w:tcW w:w="83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国家税务总局图木舒克税务局稽查局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随机抽查方式</w:t>
            </w:r>
          </w:p>
        </w:tc>
        <w:tc>
          <w:tcPr>
            <w:tcW w:w="833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采取定向抽取方式，从“税务稽查双随机工作平台—随机抽查对象名录库”中，随机抽取抽查对象。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随机抽查对象</w:t>
            </w:r>
          </w:p>
        </w:tc>
        <w:tc>
          <w:tcPr>
            <w:tcW w:w="833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纳税人、扣缴义务人和其他涉税当事人履行纳税义务、扣缴税款义务情况及其他税法遵从情况。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随机抽查内容</w:t>
            </w:r>
          </w:p>
        </w:tc>
        <w:tc>
          <w:tcPr>
            <w:tcW w:w="833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有不缴或者少缴税款行为，是否有不缴或者少缴已扣、已收税款行为，是否有逃避追缴欠税行为，是否有违规取得国家出口退税款、骗取国家出口退税款行为，是否有应扣未扣、应收而不收税款行为，是否有虚开发票行为，是否有其他不遵从税法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检查所属期间</w:t>
            </w:r>
          </w:p>
        </w:tc>
        <w:tc>
          <w:tcPr>
            <w:tcW w:w="833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年1月1日-201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年12月31日（如检查发现此期间以外明显的税收违法嫌疑或线索不受此限）。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4" w:hRule="atLeast"/>
          <w:jc w:val="center"/>
        </w:trPr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检查手段</w:t>
            </w:r>
          </w:p>
        </w:tc>
        <w:tc>
          <w:tcPr>
            <w:tcW w:w="83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检查纳税人的账簿、记账凭证、报表和有关资料，检查扣缴义务人代扣代缴、代收代缴税款账簿、记账凭证和有关资料。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到纳税人的生产、经营场所和货物存放地检查纳税人应纳税的商品、货物或者其他财产，检查扣缴义务人与代扣代缴、代收代缴税款有关的经营情况。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责成纳税人、扣缴义务人提供与纳税或者代扣代缴、代收代缴税款有关的文件、证明材料和有关资料;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询问纳税人、扣缴义务人与纳税或者代扣代缴、代收代缴税款有关的问题和情况。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到车站、码头、机场、邮政企业及其分支机构检查纳税人托运、邮寄应纳税商品、货物或者其他财产的有关单据、凭证和有关资料。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县以上税务局(分局)局长批准，凭全国统一格式的检查存款账户许可证明，查询从事生产、经营的纳税人、扣缴义务人在银行或者其他金融机构的存款账户。税务机关在调查税收违法案件时，经设区的市、自治州以上税务局(分局)局长批准，可以查询案件涉嫌人员的储蓄存款。税务机关查询所获得的资料，不得用于税收以外的用途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税务机关依法进行税务检查时，有权向有关单位和个人调查纳税人、扣缴义务人和其他当事人与纳税或者代扣代缴、代收代缴税款有关的情况，有关单位和个人有义务向税务机关如实提供有关资料及证明材料。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税务机关调查税务违法案件时，对与案件有关的情况和资料，可以记录、录音、录像、照相和复制。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随机抽查结果</w:t>
            </w:r>
          </w:p>
        </w:tc>
        <w:tc>
          <w:tcPr>
            <w:tcW w:w="2867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纳税人识别号</w:t>
            </w:r>
          </w:p>
        </w:tc>
        <w:tc>
          <w:tcPr>
            <w:tcW w:w="547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纳税人名称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91659003MA77NB538X</w:t>
            </w: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新疆博众商贸有限责任公司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916590030531617560</w:t>
            </w: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图木舒克市海康药业有限责任公司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91659003930245450U</w:t>
            </w: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图木舒克市五十一团综合加工厂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91659003729167606Y</w:t>
            </w: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图木舒克市五十三团综合加工厂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916590039302454939  </w:t>
            </w: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图木舒克市四十四团中心团场齐干却勒加工厂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91659003930245418G</w:t>
            </w: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图木舒克市四十九团综合加工厂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67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470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18" w:right="1418" w:bottom="1134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C79D9"/>
    <w:rsid w:val="02C973FA"/>
    <w:rsid w:val="06891C7C"/>
    <w:rsid w:val="076476D2"/>
    <w:rsid w:val="0AF07698"/>
    <w:rsid w:val="29CE1D4D"/>
    <w:rsid w:val="34F31565"/>
    <w:rsid w:val="3FC944E9"/>
    <w:rsid w:val="462C59CF"/>
    <w:rsid w:val="47E128E8"/>
    <w:rsid w:val="4CEC79D9"/>
    <w:rsid w:val="5A8524D3"/>
    <w:rsid w:val="614C26FE"/>
    <w:rsid w:val="7E36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qFormat/>
    <w:uiPriority w:val="0"/>
  </w:style>
  <w:style w:type="character" w:styleId="7">
    <w:name w:val="HTML Acronym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u w:val="single"/>
    </w:rPr>
  </w:style>
  <w:style w:type="character" w:styleId="10">
    <w:name w:val="HTML Code"/>
    <w:basedOn w:val="3"/>
    <w:qFormat/>
    <w:uiPriority w:val="0"/>
    <w:rPr>
      <w:rFonts w:ascii="Courier New" w:hAnsi="Courier New"/>
      <w:sz w:val="20"/>
    </w:rPr>
  </w:style>
  <w:style w:type="character" w:styleId="11">
    <w:name w:val="HTML Cit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2019-03-21T07:39:00Z</dcterms:created>
  <dc:creator>旷松松</dc:creator>
  <cp:lastModifiedBy>1</cp:lastModifiedBy>
  <dcterms:modified xsi:type="dcterms:W3CDTF">2024-01-16T09:22:09Z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