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41" w:rsidRDefault="00EE5FFA">
      <w:pPr>
        <w:widowControl/>
        <w:wordWrap w:val="0"/>
        <w:spacing w:beforeLines="100" w:before="312" w:afterLines="100" w:after="312" w:line="360" w:lineRule="auto"/>
        <w:outlineLvl w:val="2"/>
        <w:rPr>
          <w:rFonts w:eastAsia="黑体" w:cs="Times New Roman" w:hint="default"/>
          <w:b/>
          <w:bCs/>
          <w:kern w:val="24"/>
          <w:sz w:val="28"/>
          <w:szCs w:val="28"/>
        </w:rPr>
      </w:pPr>
      <w:bookmarkStart w:id="0" w:name="_Toc459388209"/>
      <w:bookmarkStart w:id="1" w:name="_Toc459987190"/>
      <w:bookmarkStart w:id="2" w:name="_Toc459387029"/>
      <w:bookmarkStart w:id="3" w:name="_Hlk508440898"/>
      <w:r>
        <w:rPr>
          <w:rFonts w:eastAsia="黑体" w:cs="Times New Roman" w:hint="default"/>
          <w:b/>
          <w:bCs/>
          <w:kern w:val="24"/>
          <w:sz w:val="28"/>
          <w:szCs w:val="28"/>
        </w:rPr>
        <w:t>144.</w:t>
      </w:r>
      <w:r w:rsidR="008E65F7">
        <w:rPr>
          <w:rFonts w:eastAsia="黑体" w:cs="Times New Roman"/>
          <w:b/>
          <w:bCs/>
          <w:kern w:val="24"/>
          <w:sz w:val="28"/>
          <w:szCs w:val="28"/>
        </w:rPr>
        <w:t xml:space="preserve">　</w:t>
      </w:r>
      <w:bookmarkEnd w:id="0"/>
      <w:bookmarkEnd w:id="1"/>
      <w:bookmarkEnd w:id="2"/>
      <w:bookmarkEnd w:id="3"/>
      <w:r w:rsidR="008E65F7">
        <w:rPr>
          <w:rFonts w:ascii="黑体" w:eastAsia="黑体" w:hAnsi="黑体" w:cs="Times New Roman"/>
          <w:b/>
          <w:bCs/>
          <w:kern w:val="24"/>
          <w:sz w:val="28"/>
          <w:szCs w:val="28"/>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黑体" w:eastAsia="黑体" w:hAnsi="黑体" w:cs="Times New Roman" w:hint="default"/>
          <w:bCs/>
          <w:szCs w:val="28"/>
        </w:rPr>
      </w:pPr>
      <w:bookmarkStart w:id="4" w:name="_Hlk507771424"/>
      <w:r>
        <w:rPr>
          <w:rFonts w:ascii="宋体" w:hAnsi="宋体" w:cs="Times New Roman" w:hint="default"/>
          <w:szCs w:val="28"/>
        </w:rPr>
        <w:t>未办理过涉税事宜的纳税人，主动到税务机关办理清税的，税务机关可根据纳税人提供的营业执照即时出具清税文书。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经人民法院裁定宣告破产的纳税人，持人民法院终结破产程序裁定书向税务机关申请税务注销的，税务机关即时出具清税文书</w:t>
      </w:r>
      <w:r>
        <w:rPr>
          <w:rFonts w:ascii="宋体" w:hAnsi="宋体" w:cs="Times New Roman"/>
          <w:szCs w:val="28"/>
        </w:rPr>
        <w:t>。</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符合下列条件的纳税人在办理税务注销时，税务机关提供即时办结服务，采取</w:t>
      </w:r>
      <w:proofErr w:type="gramStart"/>
      <w:r>
        <w:rPr>
          <w:rFonts w:ascii="宋体" w:hAnsi="宋体" w:cs="Times New Roman"/>
          <w:szCs w:val="28"/>
        </w:rPr>
        <w:t>“承诺制”容缺办理</w:t>
      </w:r>
      <w:proofErr w:type="gramEnd"/>
      <w:r>
        <w:rPr>
          <w:rFonts w:ascii="宋体" w:hAnsi="宋体" w:cs="Times New Roman"/>
          <w:szCs w:val="28"/>
        </w:rPr>
        <w:t>，即时出具清税文书：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1.</w:t>
      </w:r>
      <w:r>
        <w:rPr>
          <w:rFonts w:ascii="宋体" w:hAnsi="宋体" w:cs="Times New Roman" w:hint="default"/>
          <w:szCs w:val="28"/>
        </w:rPr>
        <w:t>办理过涉税事宜但未领用发票、无欠税（滞纳金）及罚款的纳税人，主动到税务机关办理清税。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2.对未处于税务检查状态、无欠税（滞纳金）及罚款、已缴销增值税专用发票及税控专用设备，且符合下列情形之一的纳税人。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（1）纳税信用级别为A级和B级的纳税人；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（2）控股母公司纳税信用级别为A级的M级纳税人；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（3）省级人民政府引进人才或经省级以上行业协会等机构认定的行业领军人才等创办的企业；</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（4）未纳入纳税信用级别评价的定期定额个体工商户；</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（5）未达到增值税纳税起征点的纳税人。</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《国家税务总局关于进一步优化办理企业税务注销程序的通知》（</w:t>
      </w:r>
      <w:proofErr w:type="gramStart"/>
      <w:r>
        <w:rPr>
          <w:rFonts w:ascii="宋体" w:hAnsi="宋体" w:cs="Times New Roman" w:hint="default"/>
          <w:szCs w:val="28"/>
        </w:rPr>
        <w:t>税总发</w:t>
      </w:r>
      <w:proofErr w:type="gramEnd"/>
      <w:r>
        <w:rPr>
          <w:rFonts w:ascii="宋体" w:hAnsi="宋体" w:cs="Times New Roman" w:hint="default"/>
          <w:szCs w:val="28"/>
        </w:rPr>
        <w:t>〔</w:t>
      </w:r>
      <w:r>
        <w:rPr>
          <w:rFonts w:cs="Times New Roman"/>
          <w:szCs w:val="28"/>
        </w:rPr>
        <w:t>2018</w:t>
      </w:r>
      <w:r>
        <w:rPr>
          <w:rFonts w:ascii="宋体" w:hAnsi="宋体" w:cs="Times New Roman" w:hint="default"/>
          <w:szCs w:val="28"/>
        </w:rPr>
        <w:t>〕</w:t>
      </w:r>
      <w:r>
        <w:rPr>
          <w:rFonts w:cs="Times New Roman"/>
          <w:szCs w:val="28"/>
        </w:rPr>
        <w:t>149</w:t>
      </w:r>
      <w:r>
        <w:rPr>
          <w:rFonts w:ascii="宋体" w:hAnsi="宋体" w:cs="Times New Roman" w:hint="default"/>
          <w:szCs w:val="28"/>
        </w:rPr>
        <w:t>号）第二条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5.</w:t>
      </w:r>
      <w:r>
        <w:rPr>
          <w:rFonts w:ascii="宋体" w:hAnsi="宋体" w:cs="Times New Roman" w:hint="default"/>
          <w:szCs w:val="28"/>
        </w:rPr>
        <w:t>《国家税务总局关于深化“放管服”改革更大力度推进优化税务注销办理程序工作的通知》（</w:t>
      </w:r>
      <w:proofErr w:type="gramStart"/>
      <w:r>
        <w:rPr>
          <w:rFonts w:ascii="宋体" w:hAnsi="宋体" w:cs="Times New Roman" w:hint="default"/>
          <w:szCs w:val="28"/>
        </w:rPr>
        <w:t>税总发</w:t>
      </w:r>
      <w:proofErr w:type="gramEnd"/>
      <w:r>
        <w:rPr>
          <w:rFonts w:ascii="宋体" w:hAnsi="宋体" w:cs="Times New Roman" w:hint="default"/>
          <w:szCs w:val="28"/>
        </w:rPr>
        <w:t>〔</w:t>
      </w:r>
      <w:r>
        <w:rPr>
          <w:rFonts w:cs="Times New Roman"/>
          <w:szCs w:val="28"/>
        </w:rPr>
        <w:t>2019</w:t>
      </w:r>
      <w:r>
        <w:rPr>
          <w:rFonts w:ascii="宋体" w:hAnsi="宋体" w:cs="Times New Roman" w:hint="default"/>
          <w:szCs w:val="28"/>
        </w:rPr>
        <w:t>〕</w:t>
      </w:r>
      <w:r>
        <w:rPr>
          <w:rFonts w:cs="Times New Roman"/>
          <w:szCs w:val="28"/>
        </w:rPr>
        <w:t>64</w:t>
      </w:r>
      <w:r>
        <w:rPr>
          <w:rFonts w:ascii="宋体" w:hAnsi="宋体" w:cs="Times New Roman" w:hint="default"/>
          <w:szCs w:val="28"/>
        </w:rPr>
        <w:t>号）第一条</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bookmarkStart w:id="5" w:name="_Hlk507772566"/>
      <w:bookmarkEnd w:id="4"/>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4"/>
        <w:gridCol w:w="2556"/>
        <w:gridCol w:w="756"/>
        <w:gridCol w:w="2356"/>
      </w:tblGrid>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2316"/>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《清税申报表》或《注销税务登记申请表》</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已实行“一照一码”“两证整合”登记模式的纳税人提交《清税申报表》；未实行“一照一码”“两证整合”登记模式的纳税人提交《注销税务登记申请表》。</w:t>
            </w:r>
          </w:p>
        </w:tc>
      </w:tr>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340"/>
          <w:jc w:val="center"/>
        </w:trPr>
        <w:tc>
          <w:tcPr>
            <w:tcW w:w="8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trHeight w:hRule="exact" w:val="34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上级主管、董事会决议注销</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上级主管部门批复文件或董事会决议复印件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境外企业在中国境内承包建筑、安装、装配、勘探工程和提供劳务</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项目完工证明、验收证明等相关文件复印件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被市场监督管理机关吊销营业执照</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市场监督管理机关发出的吊销工商营业执照决定复印件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未启用统一社会信用代码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税务登记证件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未办理过涉税事宜的纳税人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加载统一社会信用代码的营业执照（或组织机构代码证等）原件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794"/>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经人民法院裁定宣告破产的还应报送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人民法院终结破产程序裁定书</w:t>
            </w:r>
            <w:r>
              <w:rPr>
                <w:rFonts w:ascii="黑体" w:eastAsia="黑体" w:hAnsi="黑体" w:cs="Times New Roman"/>
                <w:sz w:val="18"/>
                <w:szCs w:val="18"/>
              </w:rPr>
              <w:t>或判决书复印件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5C4841">
            <w:pPr>
              <w:widowControl/>
              <w:wordWrap w:val="0"/>
              <w:spacing w:line="240" w:lineRule="auto"/>
              <w:ind w:firstLineChars="0" w:firstLine="0"/>
              <w:jc w:val="center"/>
              <w:rPr>
                <w:rFonts w:ascii="黑体" w:eastAsia="黑体" w:hAnsi="黑体" w:cs="Times New Roman" w:hint="default"/>
                <w:sz w:val="18"/>
                <w:szCs w:val="18"/>
              </w:rPr>
            </w:pPr>
          </w:p>
        </w:tc>
      </w:tr>
    </w:tbl>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【办理地点】</w:t>
      </w:r>
      <w:bookmarkStart w:id="6" w:name="_Hlk507772549"/>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1E1CEB" w:rsidP="00276FE1">
      <w:pPr>
        <w:pStyle w:val="a8"/>
        <w:widowControl/>
        <w:wordWrap w:val="0"/>
        <w:ind w:firstLine="482"/>
        <w:rPr>
          <w:rStyle w:val="ad"/>
          <w:rFonts w:ascii="宋体" w:hAnsi="宋体" w:hint="default"/>
        </w:rPr>
      </w:pPr>
      <w:hyperlink r:id="rId7"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lastRenderedPageBreak/>
        <w:t>【办理机构】</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主管税务机关</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不收费</w:t>
      </w:r>
    </w:p>
    <w:bookmarkEnd w:id="5"/>
    <w:bookmarkEnd w:id="6"/>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即时办结</w:t>
      </w:r>
      <w:r>
        <w:rPr>
          <w:rFonts w:ascii="宋体" w:hAnsi="宋体" w:cs="Times New Roman" w:hint="default"/>
        </w:rPr>
        <w:t xml:space="preserve"> </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276FE1" w:rsidRDefault="00276FE1">
      <w:pPr>
        <w:widowControl/>
        <w:wordWrap w:val="0"/>
        <w:spacing w:line="360" w:lineRule="auto"/>
        <w:ind w:firstLine="480"/>
        <w:rPr>
          <w:rFonts w:ascii="宋体" w:hAnsi="宋体" w:cs="Times New Roman" w:hint="default"/>
        </w:rPr>
      </w:pPr>
      <w:r w:rsidRPr="00276FE1">
        <w:rPr>
          <w:rFonts w:ascii="宋体" w:hAnsi="宋体" w:cs="Times New Roman"/>
        </w:rPr>
        <w:t>主管税务机关对外公开的联系电话，可点击下列链接通过办税地图获取：</w:t>
      </w:r>
      <w:hyperlink r:id="rId8" w:anchor="/bsdt?code=bsdt&amp;id=9916" w:history="1">
        <w:r w:rsidRPr="00C975EB">
          <w:rPr>
            <w:rStyle w:val="ad"/>
            <w:rFonts w:ascii="宋体" w:hAnsi="宋体" w:cs="Times New Roman"/>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黑体" w:eastAsia="黑体" w:hAnsi="黑体" w:cs="Times New Roman" w:hint="default"/>
          <w:bCs/>
        </w:rPr>
      </w:pPr>
      <w:r>
        <w:rPr>
          <w:rFonts w:ascii="等线" w:eastAsia="等线" w:hAnsi="等线" w:cs="Times New Roman" w:hint="default"/>
          <w:noProof/>
          <w:sz w:val="21"/>
          <w:szCs w:val="22"/>
        </w:rPr>
        <w:drawing>
          <wp:inline distT="0" distB="0" distL="0" distR="0">
            <wp:extent cx="5073015" cy="1728470"/>
            <wp:effectExtent l="0" t="0" r="1905" b="0"/>
            <wp:docPr id="186" name="图片 186" descr="C:\Users\baoqianyu\Desktop\流程图\即办\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Users\baoqianyu\Desktop\流程图\即办\纳税人.png纳税人"/>
                    <pic:cNvPicPr>
                      <a:picLocks noChangeAspect="1" noChangeArrowheads="1"/>
                    </pic:cNvPicPr>
                  </pic:nvPicPr>
                  <pic:blipFill>
                    <a:blip r:embed="rId9"/>
                    <a:srcRect/>
                    <a:stretch>
                      <a:fillRect/>
                    </a:stretch>
                  </pic:blipFill>
                  <pic:spPr>
                    <a:xfrm>
                      <a:off x="0" y="0"/>
                      <a:ext cx="5073015" cy="1728470"/>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【纳税人注意事项】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向市场监管部门申请简易注销的纳税人，符合下列情形之一的，可免予到税务机关办理清税证明：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）未办理过涉税事宜的；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）办理过涉税事宜但未领用发票、无欠税（滞纳金）及罚款的。</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纳税人对报送材料的真实性和合法性承担责任。</w:t>
      </w:r>
    </w:p>
    <w:p w:rsidR="005C4841" w:rsidRPr="00276FE1" w:rsidRDefault="008E65F7" w:rsidP="00276FE1">
      <w:pPr>
        <w:widowControl/>
        <w:wordWrap w:val="0"/>
        <w:spacing w:line="360" w:lineRule="auto"/>
        <w:ind w:firstLineChars="0" w:firstLine="480"/>
        <w:rPr>
          <w:rFonts w:ascii="宋体" w:hAnsi="宋体" w:cs="Times New Roman" w:hint="default"/>
        </w:rPr>
      </w:pPr>
      <w:r>
        <w:rPr>
          <w:rFonts w:cs="Times New Roman"/>
          <w:szCs w:val="28"/>
        </w:rPr>
        <w:t>3.</w:t>
      </w:r>
      <w:r w:rsidR="00276FE1" w:rsidRPr="00276FE1">
        <w:rPr>
          <w:rFonts w:cs="Times New Roman"/>
        </w:rPr>
        <w:t xml:space="preserve"> </w:t>
      </w:r>
      <w:r w:rsidR="00276FE1">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hint="default"/>
          <w:szCs w:val="28"/>
        </w:rPr>
        <w:t>纳税人提供的各项资料为复印件的，均</w:t>
      </w:r>
      <w:r>
        <w:rPr>
          <w:rFonts w:ascii="宋体" w:hAnsi="宋体" w:cs="Times New Roman"/>
          <w:szCs w:val="28"/>
        </w:rPr>
        <w:t>需</w:t>
      </w:r>
      <w:r>
        <w:rPr>
          <w:rFonts w:ascii="宋体" w:hAnsi="宋体" w:cs="Times New Roman" w:hint="default"/>
          <w:szCs w:val="28"/>
        </w:rPr>
        <w:t>注明“与原件一致”并签章。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6.</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bookmarkStart w:id="7" w:name="_Hlk12620407"/>
      <w:r>
        <w:rPr>
          <w:rFonts w:cs="Times New Roman"/>
          <w:szCs w:val="28"/>
        </w:rPr>
        <w:t>7.</w:t>
      </w:r>
      <w:r>
        <w:rPr>
          <w:rFonts w:ascii="宋体" w:hAnsi="宋体" w:cs="Times New Roman" w:hint="default"/>
          <w:szCs w:val="28"/>
        </w:rPr>
        <w:t>对适用税务注销即办流程的纳税人，资料不齐的，税务机关可在纳税人</w:t>
      </w:r>
      <w:proofErr w:type="gramStart"/>
      <w:r>
        <w:rPr>
          <w:rFonts w:ascii="宋体" w:hAnsi="宋体" w:cs="Times New Roman" w:hint="default"/>
          <w:szCs w:val="28"/>
        </w:rPr>
        <w:t>作出</w:t>
      </w:r>
      <w:proofErr w:type="gramEnd"/>
      <w:r>
        <w:rPr>
          <w:rFonts w:ascii="宋体" w:hAnsi="宋体" w:cs="Times New Roman" w:hint="default"/>
          <w:szCs w:val="28"/>
        </w:rPr>
        <w:t>承诺后，采取</w:t>
      </w:r>
      <w:proofErr w:type="gramStart"/>
      <w:r>
        <w:rPr>
          <w:rFonts w:ascii="宋体" w:hAnsi="宋体" w:cs="Times New Roman" w:hint="default"/>
          <w:szCs w:val="28"/>
        </w:rPr>
        <w:t>“承诺制”容缺办理</w:t>
      </w:r>
      <w:proofErr w:type="gramEnd"/>
      <w:r>
        <w:rPr>
          <w:rFonts w:ascii="宋体" w:hAnsi="宋体" w:cs="Times New Roman" w:hint="default"/>
          <w:szCs w:val="28"/>
        </w:rPr>
        <w:t>，即时出具清税文书。纳税人应按承诺的时限补齐资料，并办结相关事项。若未履行承诺的，税务机关将对其法定代表人、财务负责人纳入纳税信用D级管理。</w:t>
      </w:r>
    </w:p>
    <w:bookmarkEnd w:id="7"/>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8.</w:t>
      </w:r>
      <w:r>
        <w:rPr>
          <w:rFonts w:ascii="宋体" w:hAnsi="宋体" w:cs="Times New Roman" w:hint="default"/>
          <w:szCs w:val="28"/>
        </w:rPr>
        <w:t>纳税人申报办理税务注销前，应结清应纳税款、多退（免）税款、滞纳金和罚款，缴销发票和其他税务证件，其中：</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）企业所得税纳税人在办理税务注销前，就其清算所得向税务机关申报并依法缴纳企业所得税。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）纳税人未办理土地增值税清算手续的，应在申报办理税务注销前进行土地增值税清算。</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3</w:t>
      </w:r>
      <w:r>
        <w:rPr>
          <w:rFonts w:ascii="宋体" w:hAnsi="宋体" w:cs="Times New Roman" w:hint="default"/>
          <w:szCs w:val="28"/>
        </w:rPr>
        <w:t>）出口企业应在结清出口退（免）税款后，申报办理税务注销。</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9.</w:t>
      </w:r>
      <w:r>
        <w:rPr>
          <w:rFonts w:ascii="宋体" w:hAnsi="宋体" w:cs="Times New Roman" w:hint="default"/>
          <w:szCs w:val="28"/>
        </w:rPr>
        <w:t>处于非正常状态纳税人在申报办理税务注销前，需先</w:t>
      </w:r>
      <w:proofErr w:type="gramStart"/>
      <w:r>
        <w:rPr>
          <w:rFonts w:ascii="宋体" w:hAnsi="宋体" w:cs="Times New Roman" w:hint="default"/>
          <w:szCs w:val="28"/>
        </w:rPr>
        <w:t>解除非</w:t>
      </w:r>
      <w:proofErr w:type="gramEnd"/>
      <w:r>
        <w:rPr>
          <w:rFonts w:ascii="宋体" w:hAnsi="宋体" w:cs="Times New Roman" w:hint="default"/>
          <w:szCs w:val="28"/>
        </w:rPr>
        <w:t>正常状态，补办申报纳税手续。</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10.</w:t>
      </w:r>
      <w:r>
        <w:rPr>
          <w:rFonts w:ascii="宋体" w:hAnsi="宋体" w:cs="Times New Roman" w:hint="default"/>
          <w:szCs w:val="28"/>
        </w:rPr>
        <w:t>纳税人申报办理税务注销，无需向税务机关提出终止银税三方（委托）划缴协议。税务机关办结税务注销后，银税三方（委托）划缴协议自动终止。</w:t>
      </w:r>
    </w:p>
    <w:p w:rsidR="00522BAC" w:rsidRPr="00621AA5" w:rsidRDefault="00522BAC" w:rsidP="00522BAC">
      <w:pPr>
        <w:wordWrap w:val="0"/>
        <w:spacing w:line="360" w:lineRule="auto"/>
        <w:ind w:firstLine="480"/>
        <w:rPr>
          <w:rFonts w:ascii="宋体" w:hAnsi="宋体"/>
        </w:rPr>
      </w:pPr>
      <w:r>
        <w:rPr>
          <w:rFonts w:hint="default"/>
        </w:rPr>
        <w:t>11</w:t>
      </w:r>
      <w:r>
        <w:t>.</w:t>
      </w:r>
      <w:r>
        <w:rPr>
          <w:rFonts w:ascii="宋体" w:hAnsi="宋体"/>
        </w:rPr>
        <w:t>税务机关提供“最多跑一次”服务。纳税人在资料完整且符合法定受理条件的前提下，最多只需要到税务机关跑一次。</w:t>
      </w:r>
    </w:p>
    <w:p w:rsidR="00522BAC" w:rsidRPr="00522BAC" w:rsidRDefault="00522BAC">
      <w:pPr>
        <w:widowControl/>
        <w:wordWrap w:val="0"/>
        <w:spacing w:line="360" w:lineRule="auto"/>
        <w:ind w:firstLineChars="0" w:firstLine="480"/>
        <w:rPr>
          <w:rFonts w:ascii="宋体" w:hAnsi="宋体" w:cs="Times New Roman"/>
          <w:szCs w:val="28"/>
        </w:rPr>
      </w:pP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Default="00EE5FFA">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145.</w:t>
      </w:r>
      <w:r w:rsidR="008E65F7">
        <w:rPr>
          <w:rFonts w:eastAsia="黑体" w:cs="Times New Roman"/>
          <w:b/>
          <w:bCs/>
          <w:kern w:val="24"/>
          <w:sz w:val="28"/>
          <w:szCs w:val="28"/>
        </w:rPr>
        <w:t xml:space="preserve">　注销扣缴税款登记</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bookmarkStart w:id="8" w:name="_Hlk15938292"/>
      <w:r>
        <w:rPr>
          <w:rFonts w:ascii="宋体" w:hAnsi="宋体" w:cs="Times New Roman"/>
        </w:rPr>
        <w:t>注销扣缴税款登记</w:t>
      </w:r>
    </w:p>
    <w:bookmarkEnd w:id="8"/>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未办理信息报告的扣缴义务人发生解散、破产、撤销以及其他情形，依法终止扣缴义务的，或者已办理信息报告的扣缴义务人未发生解散、破产、撤销以及其他情形，未依法终止纳税义务，仅依法终止扣缴义务的，持有关证件和资料向税务机关申报办理注销扣缴税款登记。</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84"/>
        <w:gridCol w:w="3570"/>
        <w:gridCol w:w="888"/>
        <w:gridCol w:w="1442"/>
      </w:tblGrid>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51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hint="default"/>
                <w:sz w:val="18"/>
                <w:szCs w:val="18"/>
              </w:rPr>
              <w:t>《注销扣缴税款登记申请表》</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2</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357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737"/>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税务机关单独发放扣缴税款登记证的扣缴义务人</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bookmarkStart w:id="9" w:name="_Hlk16092124"/>
            <w:r>
              <w:rPr>
                <w:rFonts w:ascii="黑体" w:eastAsia="黑体" w:hAnsi="黑体" w:cs="Times New Roman" w:hint="default"/>
                <w:sz w:val="18"/>
                <w:szCs w:val="18"/>
              </w:rPr>
              <w:t>扣缴税款登记证原件</w:t>
            </w:r>
            <w:bookmarkEnd w:id="9"/>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1134"/>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适用“一照一码”“两证整合”登记模式的纳税人仅依法终止扣缴义务</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加载统一社会信用代码的营业执照（或税务登记证、组织机构代码证等）原件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bl>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【办理地点】</w:t>
      </w:r>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1E1CEB" w:rsidP="00276FE1">
      <w:pPr>
        <w:pStyle w:val="a8"/>
        <w:widowControl/>
        <w:wordWrap w:val="0"/>
        <w:ind w:firstLine="482"/>
        <w:rPr>
          <w:rStyle w:val="ad"/>
          <w:rFonts w:ascii="宋体" w:hAnsi="宋体" w:hint="default"/>
        </w:rPr>
      </w:pPr>
      <w:hyperlink r:id="rId10"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【办理机构】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主管税务机关</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【收费标准】</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lastRenderedPageBreak/>
        <w:t>不收费</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【办理时间】</w:t>
      </w:r>
    </w:p>
    <w:p w:rsidR="00276FE1" w:rsidRDefault="00276FE1">
      <w:pPr>
        <w:widowControl/>
        <w:wordWrap w:val="0"/>
        <w:spacing w:line="360" w:lineRule="auto"/>
        <w:ind w:firstLineChars="0" w:firstLine="480"/>
        <w:rPr>
          <w:rFonts w:ascii="宋体" w:hAnsi="宋体" w:cs="Times New Roman" w:hint="default"/>
          <w:szCs w:val="28"/>
        </w:rPr>
      </w:pPr>
      <w:r w:rsidRPr="00276FE1">
        <w:rPr>
          <w:rFonts w:ascii="宋体" w:hAnsi="宋体" w:cs="Times New Roman"/>
          <w:szCs w:val="28"/>
        </w:rPr>
        <w:t>即时办结。</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【联系电话】</w:t>
      </w:r>
    </w:p>
    <w:p w:rsidR="00276FE1" w:rsidRDefault="00276FE1">
      <w:pPr>
        <w:widowControl/>
        <w:wordWrap w:val="0"/>
        <w:spacing w:line="360" w:lineRule="auto"/>
        <w:ind w:firstLine="480"/>
        <w:rPr>
          <w:rFonts w:ascii="宋体" w:hAnsi="宋体" w:cs="Times New Roman" w:hint="default"/>
          <w:szCs w:val="28"/>
        </w:rPr>
      </w:pPr>
      <w:r w:rsidRPr="00276FE1">
        <w:rPr>
          <w:rFonts w:ascii="宋体" w:hAnsi="宋体" w:cs="Times New Roman"/>
          <w:szCs w:val="28"/>
        </w:rPr>
        <w:t>主管税务机关对外公开的联系电话，可点击下列链接通过办税地图获取：</w:t>
      </w:r>
      <w:hyperlink r:id="rId11" w:anchor="/bsdt?code=bsdt&amp;id=9916" w:history="1">
        <w:r w:rsidRPr="00C975EB">
          <w:rPr>
            <w:rStyle w:val="ad"/>
            <w:rFonts w:ascii="宋体" w:hAnsi="宋体" w:cs="Times New Roman"/>
            <w:szCs w:val="28"/>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宋体" w:hAnsi="宋体" w:cs="Times New Roman" w:hint="default"/>
          <w:bCs/>
        </w:rPr>
      </w:pPr>
      <w:r>
        <w:rPr>
          <w:rFonts w:ascii="黑体" w:eastAsia="黑体" w:hAnsi="黑体" w:cs="Times New Roman"/>
          <w:bCs/>
          <w:noProof/>
        </w:rPr>
        <w:drawing>
          <wp:inline distT="0" distB="0" distL="0" distR="0">
            <wp:extent cx="5274310" cy="14052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405255"/>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【扣缴义务人注意事项】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扣缴义务人对报送材料的真实性和合法性承担责任。</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sidR="00276FE1" w:rsidRPr="00276FE1">
        <w:rPr>
          <w:rFonts w:ascii="宋体" w:hAnsi="宋体" w:cs="Times New Roman"/>
          <w:szCs w:val="28"/>
        </w:rPr>
        <w:t xml:space="preserve"> </w:t>
      </w:r>
      <w:r w:rsidR="00276FE1">
        <w:rPr>
          <w:rFonts w:ascii="宋体" w:hAnsi="宋体" w:cs="Times New Roman"/>
          <w:szCs w:val="28"/>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bookmarkStart w:id="10" w:name="_Hlk16340692"/>
      <w:r>
        <w:rPr>
          <w:rFonts w:cs="Times New Roman"/>
          <w:szCs w:val="28"/>
        </w:rPr>
        <w:t>3.</w:t>
      </w:r>
      <w:r>
        <w:rPr>
          <w:rFonts w:ascii="宋体" w:hAnsi="宋体" w:cs="Times New Roman" w:hint="default"/>
          <w:szCs w:val="28"/>
        </w:rPr>
        <w:t>扣缴义务人使用符合电子签名法规定条件的电子签名，与手写签名或者盖章具有同等法律效力。</w:t>
      </w:r>
      <w:bookmarkEnd w:id="10"/>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szCs w:val="28"/>
        </w:rPr>
        <w:t>已办理信息报告的扣缴义务人发生解散、破产、撤销以及其他情形，依法终止纳税义务的，申报办理税务注销时，不需单独提出申请，税务机关在办理税务注销的同时，注销扣缴税款登记。</w:t>
      </w:r>
    </w:p>
    <w:p w:rsidR="00522BAC" w:rsidRPr="00621AA5" w:rsidRDefault="00522BAC" w:rsidP="00522BAC">
      <w:pPr>
        <w:wordWrap w:val="0"/>
        <w:spacing w:line="360" w:lineRule="auto"/>
        <w:ind w:firstLine="480"/>
        <w:rPr>
          <w:rFonts w:ascii="宋体" w:hAnsi="宋体"/>
        </w:rPr>
      </w:pPr>
      <w:r>
        <w:rPr>
          <w:rFonts w:hint="default"/>
        </w:rPr>
        <w:t>6</w:t>
      </w:r>
      <w:bookmarkStart w:id="11" w:name="_GoBack"/>
      <w:bookmarkEnd w:id="11"/>
      <w:r>
        <w:t>.</w:t>
      </w:r>
      <w:r>
        <w:rPr>
          <w:rFonts w:ascii="宋体" w:hAnsi="宋体"/>
        </w:rPr>
        <w:t>税务机关提供“最多跑一次”服务。纳税人在资料完整且符合法定受理条件的前提下，最多只需要到税务机关跑一次。</w:t>
      </w:r>
    </w:p>
    <w:p w:rsidR="00522BAC" w:rsidRPr="00522BAC" w:rsidRDefault="00522BAC">
      <w:pPr>
        <w:widowControl/>
        <w:wordWrap w:val="0"/>
        <w:spacing w:line="360" w:lineRule="auto"/>
        <w:ind w:firstLineChars="0" w:firstLine="480"/>
      </w:pPr>
    </w:p>
    <w:sectPr w:rsidR="00522BAC" w:rsidRPr="00522BA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EB" w:rsidRDefault="001E1CEB" w:rsidP="00BC6650">
      <w:pPr>
        <w:spacing w:line="240" w:lineRule="auto"/>
        <w:ind w:firstLine="480"/>
        <w:rPr>
          <w:rFonts w:hint="default"/>
        </w:rPr>
      </w:pPr>
      <w:r>
        <w:separator/>
      </w:r>
    </w:p>
  </w:endnote>
  <w:endnote w:type="continuationSeparator" w:id="0">
    <w:p w:rsidR="001E1CEB" w:rsidRDefault="001E1CEB" w:rsidP="00BC6650">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EB" w:rsidRDefault="001E1CEB" w:rsidP="00BC6650">
      <w:pPr>
        <w:spacing w:line="240" w:lineRule="auto"/>
        <w:ind w:firstLine="480"/>
        <w:rPr>
          <w:rFonts w:hint="default"/>
        </w:rPr>
      </w:pPr>
      <w:r>
        <w:separator/>
      </w:r>
    </w:p>
  </w:footnote>
  <w:footnote w:type="continuationSeparator" w:id="0">
    <w:p w:rsidR="001E1CEB" w:rsidRDefault="001E1CEB" w:rsidP="00BC6650">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2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B3F2E"/>
    <w:rsid w:val="001E1CEB"/>
    <w:rsid w:val="00276FE1"/>
    <w:rsid w:val="002A00CE"/>
    <w:rsid w:val="002A604C"/>
    <w:rsid w:val="003408B3"/>
    <w:rsid w:val="0047741F"/>
    <w:rsid w:val="00522BAC"/>
    <w:rsid w:val="005C4841"/>
    <w:rsid w:val="006B4BB9"/>
    <w:rsid w:val="006C0ACB"/>
    <w:rsid w:val="008123A9"/>
    <w:rsid w:val="008803F5"/>
    <w:rsid w:val="008E65F7"/>
    <w:rsid w:val="00922570"/>
    <w:rsid w:val="00A03ECD"/>
    <w:rsid w:val="00BC6650"/>
    <w:rsid w:val="00BE3A42"/>
    <w:rsid w:val="00EE5FFA"/>
    <w:rsid w:val="00EF40EB"/>
    <w:rsid w:val="052154B4"/>
    <w:rsid w:val="0C7177A2"/>
    <w:rsid w:val="0DB922F0"/>
    <w:rsid w:val="0ED54422"/>
    <w:rsid w:val="12A362B9"/>
    <w:rsid w:val="195125FB"/>
    <w:rsid w:val="1CBA19E1"/>
    <w:rsid w:val="1CED1C98"/>
    <w:rsid w:val="1F047B2B"/>
    <w:rsid w:val="1FFD3345"/>
    <w:rsid w:val="24F854E5"/>
    <w:rsid w:val="25045130"/>
    <w:rsid w:val="2A453670"/>
    <w:rsid w:val="2CD2556D"/>
    <w:rsid w:val="30A770E6"/>
    <w:rsid w:val="3498411C"/>
    <w:rsid w:val="3791054E"/>
    <w:rsid w:val="3D344164"/>
    <w:rsid w:val="455C21A5"/>
    <w:rsid w:val="472730FF"/>
    <w:rsid w:val="4CEB361C"/>
    <w:rsid w:val="4F99108C"/>
    <w:rsid w:val="5B1D3628"/>
    <w:rsid w:val="5D2818A5"/>
    <w:rsid w:val="5D744F94"/>
    <w:rsid w:val="5F5742AD"/>
    <w:rsid w:val="60BF0FB2"/>
    <w:rsid w:val="62242BFA"/>
    <w:rsid w:val="661B7BCF"/>
    <w:rsid w:val="69091976"/>
    <w:rsid w:val="73825041"/>
    <w:rsid w:val="739E5D85"/>
    <w:rsid w:val="745B3F2E"/>
    <w:rsid w:val="7DD02A4E"/>
    <w:rsid w:val="7FE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47B2"/>
  <w15:docId w15:val="{D836C7EE-0445-4BF1-8D92-956F486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ind w:firstLine="643"/>
    </w:pPr>
    <w:rPr>
      <w:color w:val="000000" w:themeColor="text1"/>
      <w:kern w:val="21"/>
    </w:rPr>
  </w:style>
  <w:style w:type="paragraph" w:styleId="a4">
    <w:name w:val="Body Text Indent"/>
    <w:basedOn w:val="a"/>
    <w:link w:val="a5"/>
    <w:qFormat/>
    <w:pPr>
      <w:widowControl/>
      <w:tabs>
        <w:tab w:val="left" w:pos="377"/>
      </w:tabs>
      <w:spacing w:after="120" w:line="300" w:lineRule="auto"/>
      <w:ind w:leftChars="200" w:left="420" w:firstLine="200"/>
    </w:p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5">
    <w:name w:val="正文文本缩进 字符"/>
    <w:link w:val="a4"/>
    <w:qFormat/>
    <w:rPr>
      <w:rFonts w:eastAsia="宋体"/>
      <w:sz w:val="24"/>
      <w:szCs w:val="24"/>
      <w:lang w:val="en-US" w:eastAsia="zh-CN" w:bidi="ar-SA"/>
    </w:rPr>
  </w:style>
  <w:style w:type="paragraph" w:customStyle="1" w:styleId="a6">
    <w:name w:val="英文摘要"/>
    <w:basedOn w:val="a"/>
    <w:qFormat/>
  </w:style>
  <w:style w:type="paragraph" w:customStyle="1" w:styleId="a7">
    <w:name w:val="参考文献正文"/>
    <w:basedOn w:val="a"/>
    <w:qFormat/>
    <w:pPr>
      <w:ind w:firstLineChars="0" w:firstLine="0"/>
    </w:pPr>
    <w:rPr>
      <w:rFonts w:cs="宋体"/>
    </w:rPr>
  </w:style>
  <w:style w:type="paragraph" w:customStyle="1" w:styleId="a8">
    <w:name w:val="事项名称"/>
    <w:basedOn w:val="a"/>
    <w:next w:val="a"/>
    <w:qFormat/>
    <w:rPr>
      <w:b/>
      <w:bCs/>
    </w:rPr>
  </w:style>
  <w:style w:type="paragraph" w:styleId="a9">
    <w:name w:val="header"/>
    <w:basedOn w:val="a"/>
    <w:link w:val="aa"/>
    <w:rsid w:val="00BC66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rsid w:val="00BC6650"/>
    <w:rPr>
      <w:rFonts w:cstheme="minorBidi"/>
      <w:kern w:val="2"/>
      <w:sz w:val="18"/>
      <w:szCs w:val="18"/>
    </w:rPr>
  </w:style>
  <w:style w:type="paragraph" w:styleId="ab">
    <w:name w:val="footer"/>
    <w:basedOn w:val="a"/>
    <w:link w:val="ac"/>
    <w:rsid w:val="00BC6650"/>
    <w:pPr>
      <w:tabs>
        <w:tab w:val="center" w:pos="4153"/>
        <w:tab w:val="right" w:pos="8306"/>
      </w:tabs>
      <w:snapToGrid w:val="0"/>
      <w:spacing w:line="240" w:lineRule="auto"/>
      <w:jc w:val="left"/>
    </w:pPr>
    <w:rPr>
      <w:sz w:val="18"/>
      <w:szCs w:val="18"/>
    </w:rPr>
  </w:style>
  <w:style w:type="character" w:customStyle="1" w:styleId="ac">
    <w:name w:val="页脚 字符"/>
    <w:basedOn w:val="a0"/>
    <w:link w:val="ab"/>
    <w:rsid w:val="00BC6650"/>
    <w:rPr>
      <w:rFonts w:cstheme="minorBidi"/>
      <w:kern w:val="2"/>
      <w:sz w:val="18"/>
      <w:szCs w:val="18"/>
    </w:rPr>
  </w:style>
  <w:style w:type="character" w:styleId="ad">
    <w:name w:val="Hyperlink"/>
    <w:basedOn w:val="a0"/>
    <w:uiPriority w:val="99"/>
    <w:unhideWhenUsed/>
    <w:qFormat/>
    <w:rsid w:val="00BC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ax.xinjiang.chinatax.gov.cn/yhs-web/cxzx/bmap.html"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tax.xinjiang.chinatax.gov.cn/yhs-web/cxzx/bmap.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tax.xinjiang.chinatax.gov.cn/yhs-web/cxzx/bmap.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9</cp:revision>
  <dcterms:created xsi:type="dcterms:W3CDTF">2019-10-30T04:29:00Z</dcterms:created>
  <dcterms:modified xsi:type="dcterms:W3CDTF">2019-11-13T08:43:00Z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