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国家税务总局和田市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税务局2019年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国家税务总局和田市税务局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税务局概况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负责贯彻执行税收、社会保险费和有关非税收入法律、法规、规章和规范性文件，研究制定具体实施办法。负责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区域内各项税收、社会保险费和有关非税收入征收管理。组织实施税（费）源监控和风险管理，加强大企业和自然人税收管理。组织落实国家规定的税收优惠政策。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落实和田市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税收、社会保险费和有关非税收入中长期规划，参与拟定税收、社会保险费和有关非税收入预算目标并依法组织实施。负责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本局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税收、社会保险费和有关非税收入的会统核算工作。组织开展收入分析预测。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负责开展税收经济分析和税收政策效应分析，为国家税务总局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和田市税务局、和田市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各项税收、社会保险费和有关非税收入征管信息化建设和数据治理工作。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内部控制机制建设工作，开展对本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贯彻执行党中央、国务院重大决策及上级工作部署情况的督查督办，组织实施税收执行法督察。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基层建设和队伍建设工作，加强领导班子和后备干部队伍建设，承担税务人才培养和干部教育培训工作。负责本系统绩效管理和干部考核工作。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机构、编制、经费和资产管理工作。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完成国家税务总局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和田市税务局、和田市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税务局，设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kern w:val="0"/>
          <w:sz w:val="32"/>
          <w:szCs w:val="32"/>
        </w:rPr>
        <w:t>个内设机构、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个派出机构。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办公室、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法制科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、货物和劳务税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科、</w:t>
      </w:r>
      <w:r>
        <w:rPr>
          <w:rFonts w:hint="eastAsia" w:ascii="仿宋_GB2312" w:hAnsi="宋体" w:eastAsia="仿宋_GB2312"/>
          <w:kern w:val="0"/>
          <w:sz w:val="32"/>
          <w:szCs w:val="32"/>
        </w:rPr>
        <w:t>企业所得税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、个人所得税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、财产和行为税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、社会保险费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</w:rPr>
        <w:t>非税收入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、收入核算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、纳税服务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征收管理科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、税收经济分析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、税收风险管理局、财务管理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、人事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教育科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、考核考评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机关党委、老干部科、系统党建工作科、纪检组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第一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所、第二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所、古江巴格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所。</w:t>
      </w:r>
    </w:p>
    <w:p>
      <w:pPr>
        <w:snapToGrid w:val="0"/>
        <w:spacing w:line="60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）所属机构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国家税务总局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和田市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税务局人员编制与实有人数均按合并后规模统计。实有编制数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137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（参照公务员）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，工人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。实有人数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137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一、部门收支总体情况表</w:t>
      </w:r>
    </w:p>
    <w:tbl>
      <w:tblPr>
        <w:tblStyle w:val="3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919"/>
        <w:gridCol w:w="1957"/>
        <w:gridCol w:w="919"/>
        <w:gridCol w:w="2024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5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804.35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301 工资福利支出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873.49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302 商品和服务支出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303 对个人和家庭的补助支出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教育收费(财政专户)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307 债务利息及费用支出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309 资本性支出（基本建设）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310 资本性支出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311 对企业补助（基本建设）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299.54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312 对企业补助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313 对社会保障基金补助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399 其他支出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部门收入总体情况表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yellow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        单位：万元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2"/>
        <w:gridCol w:w="1601"/>
        <w:gridCol w:w="1082"/>
        <w:gridCol w:w="1082"/>
        <w:gridCol w:w="389"/>
        <w:gridCol w:w="562"/>
        <w:gridCol w:w="389"/>
        <w:gridCol w:w="389"/>
        <w:gridCol w:w="389"/>
        <w:gridCol w:w="389"/>
        <w:gridCol w:w="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计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和田市税务局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1,103.89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1,103.89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  一般公共服务支出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804.35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804.35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    税收事务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804.35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804.35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      行政运行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804.35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804.35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299.54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212.41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212.41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87.13 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87.13 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部门支出总体情况表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                                  单位：万元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087"/>
        <w:gridCol w:w="1645"/>
        <w:gridCol w:w="1531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0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212.41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212.41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87.13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财政拨款收支总体情况表</w:t>
      </w:r>
    </w:p>
    <w:p>
      <w:pPr>
        <w:widowControl/>
        <w:numPr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                                       单位：万元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1080"/>
        <w:gridCol w:w="1545"/>
        <w:gridCol w:w="870"/>
        <w:gridCol w:w="880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299.54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299.54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26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22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1103.89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一般公共预算支出情况表</w:t>
      </w:r>
    </w:p>
    <w:p>
      <w:pPr>
        <w:widowControl/>
        <w:numPr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         单位：万元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740"/>
        <w:gridCol w:w="1656"/>
        <w:gridCol w:w="1199"/>
        <w:gridCol w:w="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804.35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299.54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212.41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212.41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87.13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87.13</w:t>
            </w: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一般公共预算基本支出情况表</w:t>
      </w:r>
    </w:p>
    <w:p>
      <w:pPr>
        <w:widowControl/>
        <w:numPr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         单位：万元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2999"/>
        <w:gridCol w:w="2016"/>
        <w:gridCol w:w="1177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9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29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和田市税务局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1,103.89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1,085.90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873.49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873.49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603.65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603.65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87.13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87.13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54.33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54.33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42.26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42.26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72.44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72.44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17.99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17.99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212.41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212.41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108.81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108.81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93.16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9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10.44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10.44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</w:rPr>
        <w:t>项目支出情况表</w:t>
      </w:r>
    </w:p>
    <w:p>
      <w:pPr>
        <w:widowControl/>
        <w:numPr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  <w:highlight w:val="none"/>
          <w:lang w:val="en-US" w:eastAsia="zh-CN"/>
        </w:rPr>
        <w:t xml:space="preserve">                                          单位：万元</w:t>
      </w:r>
    </w:p>
    <w:tbl>
      <w:tblPr>
        <w:tblStyle w:val="3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numPr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        单位：万元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numPr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 xml:space="preserve">                                    单位：万元</w:t>
      </w:r>
      <w:bookmarkStart w:id="0" w:name="_GoBack"/>
      <w:bookmarkEnd w:id="0"/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万元，占100 %，比上年减少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和田市国家税务局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和田市地方税务局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元，其中：基本支出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20.1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国地税征管体制改革增加人，其中在职增加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人，离退休增加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 xml:space="preserve">人，由于经费保障范围不同，所以基本支出较上年预算减少。项目支出预算未安排。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804.35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/>
          <w:kern w:val="0"/>
          <w:sz w:val="32"/>
          <w:szCs w:val="32"/>
        </w:rPr>
        <w:t>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212.41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87.13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804.35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804.35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299.54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212.41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87.13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宋体" w:eastAsia="仿宋_GB2312"/>
          <w:kern w:val="0"/>
          <w:sz w:val="32"/>
          <w:szCs w:val="32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和田市税务局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2019年一般公共预算拨款基本支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1103.89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万元，比上年执行数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242.10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17.99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%。主要原因是国地税征管体制改革，经费保障模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式改变。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804.35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72.87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804.35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299.54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27.13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kern w:val="0"/>
          <w:sz w:val="32"/>
          <w:szCs w:val="32"/>
        </w:rPr>
        <w:t>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212.41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87.13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804.35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345.59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30.05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自治区财政经费保障范围变化，国家政策的津补贴由中央财政部保障。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212.41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127.07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148.9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比上年执行数减少23.58万元，降低21.30％。主要原因是自治区财政经费保障范围变化，养老金提取基数降低。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1103.89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1085.9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税务局行政单位的机关运行经费财政拨款预算。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截至2018年底，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  <w:lang w:val="en-US" w:eastAsia="zh-CN"/>
        </w:rPr>
        <w:t>国家税务总局和田市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highlight w:val="none"/>
        </w:rPr>
        <w:t>税务局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21249.83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3292.03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344.74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red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.其他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固定资产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944.9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国家税务总局和田市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3840" w:firstLineChars="1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国家税务总局和田市税务局</w:t>
      </w:r>
    </w:p>
    <w:p>
      <w:pPr>
        <w:adjustRightInd w:val="0"/>
        <w:snapToGrid w:val="0"/>
        <w:spacing w:line="600" w:lineRule="exact"/>
        <w:ind w:firstLine="4800" w:firstLineChars="15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E10C8"/>
    <w:multiLevelType w:val="singleLevel"/>
    <w:tmpl w:val="95FE10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8E1CA3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2095F"/>
    <w:rsid w:val="00F7774A"/>
    <w:rsid w:val="00FC3AE6"/>
    <w:rsid w:val="00FE045D"/>
    <w:rsid w:val="011604D2"/>
    <w:rsid w:val="01CC602B"/>
    <w:rsid w:val="01F07AE3"/>
    <w:rsid w:val="027B7092"/>
    <w:rsid w:val="0361289C"/>
    <w:rsid w:val="062343EA"/>
    <w:rsid w:val="0639790B"/>
    <w:rsid w:val="069E7F97"/>
    <w:rsid w:val="074A01BE"/>
    <w:rsid w:val="07C13D81"/>
    <w:rsid w:val="09AF7C8E"/>
    <w:rsid w:val="09ED396F"/>
    <w:rsid w:val="09F77510"/>
    <w:rsid w:val="0A2F3DB3"/>
    <w:rsid w:val="0AA3549A"/>
    <w:rsid w:val="0AF948DE"/>
    <w:rsid w:val="0B2834EF"/>
    <w:rsid w:val="0B320F1D"/>
    <w:rsid w:val="0B3405A7"/>
    <w:rsid w:val="0B461D12"/>
    <w:rsid w:val="0C5577F6"/>
    <w:rsid w:val="0C9E7FE7"/>
    <w:rsid w:val="0E440369"/>
    <w:rsid w:val="0EF4759C"/>
    <w:rsid w:val="10BF128E"/>
    <w:rsid w:val="11536EE2"/>
    <w:rsid w:val="116D394D"/>
    <w:rsid w:val="12416294"/>
    <w:rsid w:val="12EA2883"/>
    <w:rsid w:val="130F558F"/>
    <w:rsid w:val="139C41C5"/>
    <w:rsid w:val="14641335"/>
    <w:rsid w:val="15272F13"/>
    <w:rsid w:val="15786F28"/>
    <w:rsid w:val="15A83AE3"/>
    <w:rsid w:val="170022D1"/>
    <w:rsid w:val="1791053F"/>
    <w:rsid w:val="17BF611F"/>
    <w:rsid w:val="17CB0C5B"/>
    <w:rsid w:val="18584E4A"/>
    <w:rsid w:val="18F7608F"/>
    <w:rsid w:val="19BD3597"/>
    <w:rsid w:val="1A6F2854"/>
    <w:rsid w:val="1B231B16"/>
    <w:rsid w:val="1C962A7D"/>
    <w:rsid w:val="1DFE742A"/>
    <w:rsid w:val="1F8D6D66"/>
    <w:rsid w:val="20991B76"/>
    <w:rsid w:val="21CF7B7C"/>
    <w:rsid w:val="21E610DF"/>
    <w:rsid w:val="22435223"/>
    <w:rsid w:val="22751D0E"/>
    <w:rsid w:val="22AD0714"/>
    <w:rsid w:val="22CC3C79"/>
    <w:rsid w:val="242C39CD"/>
    <w:rsid w:val="248E6F96"/>
    <w:rsid w:val="263047CE"/>
    <w:rsid w:val="263E3CA5"/>
    <w:rsid w:val="26636CB1"/>
    <w:rsid w:val="26A02C95"/>
    <w:rsid w:val="26DF02A7"/>
    <w:rsid w:val="26F05B34"/>
    <w:rsid w:val="27B32089"/>
    <w:rsid w:val="28FF004E"/>
    <w:rsid w:val="292A16D5"/>
    <w:rsid w:val="2B2C7ED7"/>
    <w:rsid w:val="2B446DE8"/>
    <w:rsid w:val="2B5019DE"/>
    <w:rsid w:val="2D243488"/>
    <w:rsid w:val="2D8D4631"/>
    <w:rsid w:val="2E52132C"/>
    <w:rsid w:val="2E5D214C"/>
    <w:rsid w:val="2F3A7888"/>
    <w:rsid w:val="2FD5320A"/>
    <w:rsid w:val="308174E5"/>
    <w:rsid w:val="31523C28"/>
    <w:rsid w:val="33072D0F"/>
    <w:rsid w:val="3341768A"/>
    <w:rsid w:val="33475452"/>
    <w:rsid w:val="33C6766C"/>
    <w:rsid w:val="33D013FA"/>
    <w:rsid w:val="34224909"/>
    <w:rsid w:val="346029F6"/>
    <w:rsid w:val="34BD2649"/>
    <w:rsid w:val="34E927AE"/>
    <w:rsid w:val="368B171A"/>
    <w:rsid w:val="36C67F6E"/>
    <w:rsid w:val="378A0B50"/>
    <w:rsid w:val="379D38FB"/>
    <w:rsid w:val="37AA2A26"/>
    <w:rsid w:val="37F33EC0"/>
    <w:rsid w:val="3806265B"/>
    <w:rsid w:val="38B020BF"/>
    <w:rsid w:val="393C5E10"/>
    <w:rsid w:val="3944239D"/>
    <w:rsid w:val="39F87FBC"/>
    <w:rsid w:val="3A5F7117"/>
    <w:rsid w:val="3BE51E0F"/>
    <w:rsid w:val="3C6667DF"/>
    <w:rsid w:val="3C6A28EA"/>
    <w:rsid w:val="3E8A5660"/>
    <w:rsid w:val="3F5445A7"/>
    <w:rsid w:val="3F567FF4"/>
    <w:rsid w:val="3F671ADF"/>
    <w:rsid w:val="3FDA30AC"/>
    <w:rsid w:val="402140D3"/>
    <w:rsid w:val="409E3AC2"/>
    <w:rsid w:val="413E35AB"/>
    <w:rsid w:val="413E6A7E"/>
    <w:rsid w:val="42A233D6"/>
    <w:rsid w:val="44BB1FDB"/>
    <w:rsid w:val="45894E2E"/>
    <w:rsid w:val="46251833"/>
    <w:rsid w:val="4631787C"/>
    <w:rsid w:val="46515C5C"/>
    <w:rsid w:val="46C23168"/>
    <w:rsid w:val="471A63B2"/>
    <w:rsid w:val="47AB740C"/>
    <w:rsid w:val="47C5558A"/>
    <w:rsid w:val="484F7656"/>
    <w:rsid w:val="49502845"/>
    <w:rsid w:val="49C267C9"/>
    <w:rsid w:val="4B030F5E"/>
    <w:rsid w:val="4B846DA6"/>
    <w:rsid w:val="4B962D24"/>
    <w:rsid w:val="4E8E400B"/>
    <w:rsid w:val="4EB16087"/>
    <w:rsid w:val="4EB82EA0"/>
    <w:rsid w:val="4EBC5D26"/>
    <w:rsid w:val="4EF03E9D"/>
    <w:rsid w:val="503E5C18"/>
    <w:rsid w:val="50661E56"/>
    <w:rsid w:val="50AB245C"/>
    <w:rsid w:val="50F94923"/>
    <w:rsid w:val="519B3D58"/>
    <w:rsid w:val="51C22593"/>
    <w:rsid w:val="521900A4"/>
    <w:rsid w:val="53BB53D8"/>
    <w:rsid w:val="543A652F"/>
    <w:rsid w:val="54846E6F"/>
    <w:rsid w:val="548716A8"/>
    <w:rsid w:val="54F074F6"/>
    <w:rsid w:val="54F65971"/>
    <w:rsid w:val="554C0327"/>
    <w:rsid w:val="56782236"/>
    <w:rsid w:val="567A4845"/>
    <w:rsid w:val="56A922D9"/>
    <w:rsid w:val="56C16C42"/>
    <w:rsid w:val="56D50E7D"/>
    <w:rsid w:val="57AB7834"/>
    <w:rsid w:val="57F45285"/>
    <w:rsid w:val="585F2E14"/>
    <w:rsid w:val="59DD6DBE"/>
    <w:rsid w:val="5AB05089"/>
    <w:rsid w:val="5B294357"/>
    <w:rsid w:val="5C33633C"/>
    <w:rsid w:val="5CE92C6C"/>
    <w:rsid w:val="5CEA44CE"/>
    <w:rsid w:val="5DAA1AD0"/>
    <w:rsid w:val="5DB23609"/>
    <w:rsid w:val="5ECE46D2"/>
    <w:rsid w:val="5ED105CD"/>
    <w:rsid w:val="5EF10FF1"/>
    <w:rsid w:val="5FD6438F"/>
    <w:rsid w:val="60C27B9C"/>
    <w:rsid w:val="616A0063"/>
    <w:rsid w:val="61B977D7"/>
    <w:rsid w:val="62900FFD"/>
    <w:rsid w:val="62CC61E2"/>
    <w:rsid w:val="62F40BD0"/>
    <w:rsid w:val="64A97360"/>
    <w:rsid w:val="64DC69A6"/>
    <w:rsid w:val="651207BA"/>
    <w:rsid w:val="660A3E12"/>
    <w:rsid w:val="66E14185"/>
    <w:rsid w:val="678028CE"/>
    <w:rsid w:val="688B2E99"/>
    <w:rsid w:val="69911A88"/>
    <w:rsid w:val="69A81A05"/>
    <w:rsid w:val="6B011B2C"/>
    <w:rsid w:val="6CB562D9"/>
    <w:rsid w:val="6CEC3F7F"/>
    <w:rsid w:val="6D1B1C60"/>
    <w:rsid w:val="6DE145A7"/>
    <w:rsid w:val="6E803E4B"/>
    <w:rsid w:val="6E952813"/>
    <w:rsid w:val="6EDB1A57"/>
    <w:rsid w:val="6F93735D"/>
    <w:rsid w:val="6FD30B8C"/>
    <w:rsid w:val="70AD6DFF"/>
    <w:rsid w:val="70FF2343"/>
    <w:rsid w:val="717B729C"/>
    <w:rsid w:val="71B73865"/>
    <w:rsid w:val="73126D3D"/>
    <w:rsid w:val="73AC581F"/>
    <w:rsid w:val="746A4CDB"/>
    <w:rsid w:val="75D629DA"/>
    <w:rsid w:val="75E278D6"/>
    <w:rsid w:val="75EC4F9B"/>
    <w:rsid w:val="760B1486"/>
    <w:rsid w:val="77202DAD"/>
    <w:rsid w:val="78607713"/>
    <w:rsid w:val="79776C1F"/>
    <w:rsid w:val="7A9B767F"/>
    <w:rsid w:val="7C8933F9"/>
    <w:rsid w:val="7D6929A6"/>
    <w:rsid w:val="7EAA564F"/>
    <w:rsid w:val="7F2F01D9"/>
    <w:rsid w:val="7F9221E7"/>
    <w:rsid w:val="7FE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Office_10.8.2.6870_F1E327BC-269C-435d-A152-05C5408002CA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2019-02-20T04:02:00Z</dcterms:created>
  <dc:creator>ZM</dc:creator>
  <cp:lastModifiedBy>dbuser</cp:lastModifiedBy>
  <dcterms:modified xsi:type="dcterms:W3CDTF">2019-02-22T05:20:36Z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