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ascii="黑体" w:hAnsi="黑体" w:eastAsia="黑体"/>
          <w:sz w:val="32"/>
          <w:szCs w:val="32"/>
        </w:rPr>
      </w:pPr>
      <w:r>
        <w:rPr>
          <w:rFonts w:hint="eastAsia" w:ascii="黑体" w:hAnsi="黑体" w:eastAsia="黑体"/>
          <w:sz w:val="32"/>
          <w:szCs w:val="32"/>
        </w:rPr>
        <w:t>附件1：</w:t>
      </w:r>
    </w:p>
    <w:p>
      <w:pPr>
        <w:adjustRightInd w:val="0"/>
        <w:snapToGrid w:val="0"/>
        <w:spacing w:line="600" w:lineRule="exact"/>
      </w:pPr>
    </w:p>
    <w:p>
      <w:pPr>
        <w:adjustRightInd w:val="0"/>
        <w:snapToGrid w:val="0"/>
        <w:spacing w:line="600" w:lineRule="exact"/>
      </w:pPr>
    </w:p>
    <w:p>
      <w:pPr>
        <w:widowControl/>
        <w:adjustRightInd w:val="0"/>
        <w:snapToGrid w:val="0"/>
        <w:spacing w:before="100" w:beforeAutospacing="1" w:after="100" w:afterAutospacing="1" w:line="600" w:lineRule="exact"/>
        <w:outlineLvl w:val="1"/>
        <w:rPr>
          <w:rFonts w:ascii="黑体" w:hAnsi="黑体" w:eastAsia="黑体" w:cs="宋体"/>
          <w:kern w:val="0"/>
          <w:sz w:val="32"/>
          <w:szCs w:val="32"/>
        </w:rPr>
      </w:pPr>
    </w:p>
    <w:p>
      <w:pPr>
        <w:widowControl/>
        <w:adjustRightInd w:val="0"/>
        <w:snapToGrid w:val="0"/>
        <w:spacing w:before="100" w:beforeAutospacing="1" w:after="100" w:afterAutospacing="1" w:line="600" w:lineRule="exact"/>
        <w:outlineLvl w:val="1"/>
        <w:rPr>
          <w:rFonts w:ascii="黑体" w:hAnsi="黑体" w:eastAsia="黑体" w:cs="宋体"/>
          <w:kern w:val="0"/>
          <w:sz w:val="32"/>
          <w:szCs w:val="32"/>
        </w:rPr>
      </w:pPr>
    </w:p>
    <w:p>
      <w:pPr>
        <w:widowControl/>
        <w:adjustRightInd w:val="0"/>
        <w:snapToGrid w:val="0"/>
        <w:spacing w:before="100" w:beforeAutospacing="1" w:after="100" w:afterAutospacing="1" w:line="600" w:lineRule="exact"/>
        <w:outlineLvl w:val="1"/>
        <w:rPr>
          <w:rFonts w:ascii="宋体" w:hAnsi="宋体" w:cs="宋体"/>
          <w:b/>
          <w:bCs/>
          <w:kern w:val="0"/>
          <w:sz w:val="44"/>
          <w:szCs w:val="44"/>
        </w:rPr>
      </w:pPr>
    </w:p>
    <w:p>
      <w:pPr>
        <w:widowControl/>
        <w:adjustRightInd w:val="0"/>
        <w:snapToGrid w:val="0"/>
        <w:spacing w:before="100" w:beforeAutospacing="1" w:after="100" w:afterAutospacing="1" w:line="600" w:lineRule="exact"/>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lang w:eastAsia="zh-CN"/>
        </w:rPr>
        <w:t>阜康市</w:t>
      </w:r>
      <w:r>
        <w:rPr>
          <w:rFonts w:hint="eastAsia" w:ascii="方正小标宋_GBK" w:hAnsi="宋体" w:eastAsia="方正小标宋_GBK"/>
          <w:kern w:val="0"/>
          <w:sz w:val="44"/>
          <w:szCs w:val="44"/>
        </w:rPr>
        <w:t>税务局2019年部门预算公开</w:t>
      </w:r>
    </w:p>
    <w:p>
      <w:pPr>
        <w:widowControl/>
        <w:adjustRightInd w:val="0"/>
        <w:snapToGrid w:val="0"/>
        <w:spacing w:before="100" w:beforeAutospacing="1" w:after="100" w:afterAutospacing="1" w:line="600" w:lineRule="exact"/>
        <w:jc w:val="center"/>
        <w:outlineLvl w:val="1"/>
        <w:rPr>
          <w:rFonts w:ascii="宋体" w:hAnsi="宋体"/>
          <w:b/>
          <w:kern w:val="0"/>
          <w:sz w:val="44"/>
          <w:szCs w:val="44"/>
        </w:rPr>
      </w:pPr>
    </w:p>
    <w:p>
      <w:pPr>
        <w:widowControl/>
        <w:adjustRightInd w:val="0"/>
        <w:snapToGrid w:val="0"/>
        <w:spacing w:before="100" w:beforeAutospacing="1" w:after="100" w:afterAutospacing="1" w:line="600" w:lineRule="exact"/>
        <w:jc w:val="center"/>
        <w:outlineLvl w:val="1"/>
        <w:rPr>
          <w:rFonts w:ascii="宋体" w:hAnsi="宋体"/>
          <w:b/>
          <w:kern w:val="0"/>
          <w:sz w:val="44"/>
          <w:szCs w:val="44"/>
        </w:rPr>
      </w:pPr>
    </w:p>
    <w:p>
      <w:pPr>
        <w:widowControl/>
        <w:adjustRightInd w:val="0"/>
        <w:snapToGrid w:val="0"/>
        <w:spacing w:before="100" w:beforeAutospacing="1" w:after="100" w:afterAutospacing="1" w:line="600" w:lineRule="exact"/>
        <w:jc w:val="center"/>
        <w:outlineLvl w:val="1"/>
        <w:rPr>
          <w:rFonts w:ascii="宋体" w:hAnsi="宋体"/>
          <w:b/>
          <w:kern w:val="0"/>
          <w:sz w:val="44"/>
          <w:szCs w:val="44"/>
        </w:rPr>
      </w:pPr>
    </w:p>
    <w:p>
      <w:pPr>
        <w:widowControl/>
        <w:adjustRightInd w:val="0"/>
        <w:snapToGrid w:val="0"/>
        <w:spacing w:before="100" w:beforeAutospacing="1" w:after="100" w:afterAutospacing="1" w:line="600" w:lineRule="exact"/>
        <w:jc w:val="center"/>
        <w:outlineLvl w:val="1"/>
        <w:rPr>
          <w:rFonts w:ascii="宋体" w:hAnsi="宋体"/>
          <w:b/>
          <w:kern w:val="0"/>
          <w:sz w:val="44"/>
          <w:szCs w:val="44"/>
        </w:rPr>
      </w:pPr>
    </w:p>
    <w:p>
      <w:pPr>
        <w:widowControl/>
        <w:adjustRightInd w:val="0"/>
        <w:snapToGrid w:val="0"/>
        <w:spacing w:before="100" w:beforeAutospacing="1" w:after="100" w:afterAutospacing="1" w:line="600" w:lineRule="exact"/>
        <w:jc w:val="center"/>
        <w:outlineLvl w:val="1"/>
        <w:rPr>
          <w:rFonts w:ascii="宋体" w:hAnsi="宋体"/>
          <w:b/>
          <w:kern w:val="0"/>
          <w:sz w:val="44"/>
          <w:szCs w:val="44"/>
        </w:rPr>
      </w:pPr>
    </w:p>
    <w:p>
      <w:pPr>
        <w:widowControl/>
        <w:adjustRightInd w:val="0"/>
        <w:snapToGrid w:val="0"/>
        <w:spacing w:before="100" w:beforeAutospacing="1" w:after="100" w:afterAutospacing="1" w:line="600" w:lineRule="exact"/>
        <w:jc w:val="center"/>
        <w:outlineLvl w:val="1"/>
        <w:rPr>
          <w:rFonts w:ascii="宋体" w:hAnsi="宋体"/>
          <w:b/>
          <w:kern w:val="0"/>
          <w:sz w:val="44"/>
          <w:szCs w:val="44"/>
        </w:rPr>
      </w:pPr>
    </w:p>
    <w:p>
      <w:pPr>
        <w:widowControl/>
        <w:adjustRightInd w:val="0"/>
        <w:snapToGrid w:val="0"/>
        <w:spacing w:before="100" w:beforeAutospacing="1" w:after="100" w:afterAutospacing="1" w:line="600" w:lineRule="exact"/>
        <w:jc w:val="center"/>
        <w:outlineLvl w:val="1"/>
        <w:rPr>
          <w:rFonts w:ascii="宋体" w:hAnsi="宋体"/>
          <w:b/>
          <w:kern w:val="0"/>
          <w:sz w:val="44"/>
          <w:szCs w:val="44"/>
        </w:rPr>
      </w:pPr>
    </w:p>
    <w:p>
      <w:pPr>
        <w:widowControl/>
        <w:adjustRightInd w:val="0"/>
        <w:snapToGrid w:val="0"/>
        <w:spacing w:before="100" w:beforeAutospacing="1" w:after="100" w:afterAutospacing="1" w:line="600" w:lineRule="exact"/>
        <w:jc w:val="center"/>
        <w:outlineLvl w:val="1"/>
        <w:rPr>
          <w:rFonts w:ascii="宋体" w:hAnsi="宋体"/>
          <w:b/>
          <w:kern w:val="0"/>
          <w:sz w:val="44"/>
          <w:szCs w:val="44"/>
        </w:rPr>
      </w:pPr>
    </w:p>
    <w:p>
      <w:pPr>
        <w:widowControl/>
        <w:adjustRightInd w:val="0"/>
        <w:snapToGrid w:val="0"/>
        <w:spacing w:before="100" w:beforeAutospacing="1" w:after="100" w:afterAutospacing="1" w:line="600" w:lineRule="exact"/>
        <w:jc w:val="center"/>
        <w:outlineLvl w:val="1"/>
        <w:rPr>
          <w:rFonts w:ascii="宋体" w:hAnsi="宋体"/>
          <w:b/>
          <w:kern w:val="0"/>
          <w:sz w:val="44"/>
          <w:szCs w:val="44"/>
        </w:rPr>
      </w:pPr>
    </w:p>
    <w:p>
      <w:pPr>
        <w:widowControl/>
        <w:spacing w:line="600" w:lineRule="exact"/>
        <w:jc w:val="center"/>
        <w:outlineLvl w:val="1"/>
        <w:rPr>
          <w:rFonts w:ascii="黑体" w:hAnsi="黑体" w:eastAsia="黑体"/>
          <w:kern w:val="0"/>
          <w:sz w:val="44"/>
          <w:szCs w:val="44"/>
        </w:rPr>
      </w:pPr>
      <w:r>
        <w:rPr>
          <w:rFonts w:hint="eastAsia" w:ascii="黑体" w:hAnsi="黑体" w:eastAsia="黑体"/>
          <w:kern w:val="0"/>
          <w:sz w:val="44"/>
          <w:szCs w:val="44"/>
        </w:rPr>
        <w:t>目录</w:t>
      </w:r>
    </w:p>
    <w:p>
      <w:pPr>
        <w:widowControl/>
        <w:spacing w:line="600" w:lineRule="exact"/>
        <w:jc w:val="center"/>
        <w:outlineLvl w:val="1"/>
        <w:rPr>
          <w:rFonts w:ascii="宋体" w:hAnsi="宋体"/>
          <w:b/>
          <w:kern w:val="0"/>
          <w:sz w:val="44"/>
          <w:szCs w:val="44"/>
        </w:rPr>
      </w:pPr>
    </w:p>
    <w:p>
      <w:pPr>
        <w:widowControl/>
        <w:spacing w:line="600" w:lineRule="exact"/>
        <w:outlineLvl w:val="1"/>
        <w:rPr>
          <w:rFonts w:ascii="宋体" w:hAnsi="宋体"/>
          <w:b/>
          <w:kern w:val="0"/>
          <w:sz w:val="32"/>
          <w:szCs w:val="32"/>
        </w:rPr>
      </w:pPr>
      <w:r>
        <w:rPr>
          <w:rFonts w:hint="eastAsia" w:ascii="仿宋_GB2312" w:hAnsi="宋体" w:eastAsia="仿宋_GB2312"/>
          <w:b/>
          <w:kern w:val="0"/>
          <w:sz w:val="32"/>
          <w:szCs w:val="32"/>
        </w:rPr>
        <w:t xml:space="preserve">第一部分  </w:t>
      </w:r>
      <w:r>
        <w:rPr>
          <w:rFonts w:hint="eastAsia" w:ascii="仿宋_GB2312" w:hAnsi="宋体" w:eastAsia="仿宋_GB2312"/>
          <w:b/>
          <w:kern w:val="0"/>
          <w:sz w:val="32"/>
          <w:szCs w:val="32"/>
          <w:lang w:eastAsia="zh-CN"/>
        </w:rPr>
        <w:t>阜康市</w:t>
      </w:r>
      <w:r>
        <w:rPr>
          <w:rFonts w:hint="eastAsia" w:ascii="仿宋_GB2312" w:hAnsi="宋体" w:eastAsia="仿宋_GB2312"/>
          <w:b/>
          <w:kern w:val="0"/>
          <w:sz w:val="32"/>
          <w:szCs w:val="32"/>
        </w:rPr>
        <w:t>税务局概况</w:t>
      </w:r>
    </w:p>
    <w:p>
      <w:pPr>
        <w:widowControl/>
        <w:spacing w:line="6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6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60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第二部分 </w:t>
      </w:r>
      <w:r>
        <w:rPr>
          <w:rFonts w:hint="eastAsia" w:ascii="宋体" w:hAnsi="宋体"/>
          <w:b/>
          <w:kern w:val="0"/>
          <w:sz w:val="32"/>
          <w:szCs w:val="32"/>
        </w:rPr>
        <w:t>2019</w:t>
      </w:r>
      <w:r>
        <w:rPr>
          <w:rFonts w:hint="eastAsia" w:ascii="仿宋_GB2312" w:hAnsi="宋体" w:eastAsia="仿宋_GB2312"/>
          <w:b/>
          <w:kern w:val="0"/>
          <w:sz w:val="32"/>
          <w:szCs w:val="32"/>
        </w:rPr>
        <w:t>年部门预算公开表</w:t>
      </w:r>
    </w:p>
    <w:p>
      <w:pPr>
        <w:widowControl/>
        <w:spacing w:line="6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一、部门收支总体情况表</w:t>
      </w:r>
    </w:p>
    <w:p>
      <w:pPr>
        <w:widowControl/>
        <w:spacing w:line="6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二、部门收入总体情况表</w:t>
      </w:r>
    </w:p>
    <w:p>
      <w:pPr>
        <w:widowControl/>
        <w:spacing w:line="6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三、部门支出总体情况表</w:t>
      </w:r>
    </w:p>
    <w:p>
      <w:pPr>
        <w:widowControl/>
        <w:spacing w:line="6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6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6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6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七、</w:t>
      </w:r>
      <w:r>
        <w:rPr>
          <w:rFonts w:hint="eastAsia" w:ascii="仿宋_GB2312" w:hAnsi="宋体" w:eastAsia="仿宋_GB2312"/>
          <w:bCs/>
          <w:kern w:val="0"/>
          <w:sz w:val="32"/>
          <w:szCs w:val="32"/>
        </w:rPr>
        <w:t>项目支出情况表</w:t>
      </w:r>
    </w:p>
    <w:p>
      <w:pPr>
        <w:widowControl/>
        <w:spacing w:line="6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6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60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第三部分  </w:t>
      </w:r>
      <w:r>
        <w:rPr>
          <w:rFonts w:hint="eastAsia" w:ascii="宋体" w:hAnsi="宋体"/>
          <w:b/>
          <w:kern w:val="0"/>
          <w:sz w:val="32"/>
          <w:szCs w:val="32"/>
        </w:rPr>
        <w:t>2019</w:t>
      </w:r>
      <w:r>
        <w:rPr>
          <w:rFonts w:hint="eastAsia" w:ascii="仿宋_GB2312" w:hAnsi="宋体" w:eastAsia="仿宋_GB2312"/>
          <w:b/>
          <w:kern w:val="0"/>
          <w:sz w:val="32"/>
          <w:szCs w:val="32"/>
        </w:rPr>
        <w:t>年部门预算情况说明</w:t>
      </w:r>
    </w:p>
    <w:p>
      <w:pPr>
        <w:widowControl/>
        <w:spacing w:line="6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一、关于</w:t>
      </w:r>
      <w:r>
        <w:rPr>
          <w:rFonts w:hint="eastAsia" w:ascii="仿宋_GB2312" w:hAnsi="宋体" w:eastAsia="仿宋_GB2312"/>
          <w:kern w:val="0"/>
          <w:sz w:val="32"/>
          <w:szCs w:val="32"/>
          <w:lang w:eastAsia="zh-CN"/>
        </w:rPr>
        <w:t>阜康市</w:t>
      </w:r>
      <w:r>
        <w:rPr>
          <w:rFonts w:hint="eastAsia" w:ascii="仿宋_GB2312" w:hAnsi="宋体" w:eastAsia="仿宋_GB2312"/>
          <w:kern w:val="0"/>
          <w:sz w:val="32"/>
          <w:szCs w:val="32"/>
        </w:rPr>
        <w:t>税务局2019年收支预算情况的总体说明</w:t>
      </w:r>
    </w:p>
    <w:p>
      <w:pPr>
        <w:widowControl/>
        <w:spacing w:line="6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二、关于</w:t>
      </w:r>
      <w:r>
        <w:rPr>
          <w:rFonts w:hint="eastAsia" w:ascii="仿宋_GB2312" w:hAnsi="宋体" w:eastAsia="仿宋_GB2312"/>
          <w:kern w:val="0"/>
          <w:sz w:val="32"/>
          <w:szCs w:val="32"/>
          <w:lang w:eastAsia="zh-CN"/>
        </w:rPr>
        <w:t>阜康市</w:t>
      </w:r>
      <w:r>
        <w:rPr>
          <w:rFonts w:hint="eastAsia" w:ascii="仿宋_GB2312" w:hAnsi="宋体" w:eastAsia="仿宋_GB2312"/>
          <w:kern w:val="0"/>
          <w:sz w:val="32"/>
          <w:szCs w:val="32"/>
        </w:rPr>
        <w:t>税务局2019年收入预算情况说明</w:t>
      </w:r>
    </w:p>
    <w:p>
      <w:pPr>
        <w:widowControl/>
        <w:spacing w:line="6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三、关于</w:t>
      </w:r>
      <w:r>
        <w:rPr>
          <w:rFonts w:hint="eastAsia" w:ascii="仿宋_GB2312" w:hAnsi="宋体" w:eastAsia="仿宋_GB2312"/>
          <w:kern w:val="0"/>
          <w:sz w:val="32"/>
          <w:szCs w:val="32"/>
          <w:lang w:eastAsia="zh-CN"/>
        </w:rPr>
        <w:t>阜康市</w:t>
      </w:r>
      <w:r>
        <w:rPr>
          <w:rFonts w:hint="eastAsia" w:ascii="仿宋_GB2312" w:hAnsi="宋体" w:eastAsia="仿宋_GB2312"/>
          <w:kern w:val="0"/>
          <w:sz w:val="32"/>
          <w:szCs w:val="32"/>
        </w:rPr>
        <w:t>税务局2019年支出预算情况说明</w:t>
      </w:r>
    </w:p>
    <w:p>
      <w:pPr>
        <w:widowControl/>
        <w:spacing w:line="6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四、关于</w:t>
      </w:r>
      <w:r>
        <w:rPr>
          <w:rFonts w:hint="eastAsia" w:ascii="仿宋_GB2312" w:hAnsi="宋体" w:eastAsia="仿宋_GB2312"/>
          <w:kern w:val="0"/>
          <w:sz w:val="32"/>
          <w:szCs w:val="32"/>
          <w:lang w:eastAsia="zh-CN"/>
        </w:rPr>
        <w:t>阜康市</w:t>
      </w:r>
      <w:r>
        <w:rPr>
          <w:rFonts w:hint="eastAsia" w:ascii="仿宋_GB2312" w:hAnsi="宋体" w:eastAsia="仿宋_GB2312"/>
          <w:kern w:val="0"/>
          <w:sz w:val="32"/>
          <w:szCs w:val="32"/>
        </w:rPr>
        <w:t>税务局2019年财政拨款收支预算情况的总体说明</w:t>
      </w:r>
    </w:p>
    <w:p>
      <w:pPr>
        <w:widowControl/>
        <w:spacing w:line="6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五、关于</w:t>
      </w:r>
      <w:r>
        <w:rPr>
          <w:rFonts w:hint="eastAsia" w:ascii="仿宋_GB2312" w:hAnsi="宋体" w:eastAsia="仿宋_GB2312"/>
          <w:kern w:val="0"/>
          <w:sz w:val="32"/>
          <w:szCs w:val="32"/>
          <w:lang w:eastAsia="zh-CN"/>
        </w:rPr>
        <w:t>阜康市</w:t>
      </w:r>
      <w:r>
        <w:rPr>
          <w:rFonts w:hint="eastAsia" w:ascii="仿宋_GB2312" w:hAnsi="宋体" w:eastAsia="仿宋_GB2312"/>
          <w:kern w:val="0"/>
          <w:sz w:val="32"/>
          <w:szCs w:val="32"/>
        </w:rPr>
        <w:t>税务局2019年一般公共预算当年拨款情况说明</w:t>
      </w:r>
    </w:p>
    <w:p>
      <w:pPr>
        <w:widowControl/>
        <w:spacing w:line="6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六、关于</w:t>
      </w:r>
      <w:r>
        <w:rPr>
          <w:rFonts w:hint="eastAsia" w:ascii="仿宋_GB2312" w:hAnsi="宋体" w:eastAsia="仿宋_GB2312"/>
          <w:kern w:val="0"/>
          <w:sz w:val="32"/>
          <w:szCs w:val="32"/>
          <w:lang w:eastAsia="zh-CN"/>
        </w:rPr>
        <w:t>阜康市</w:t>
      </w:r>
      <w:r>
        <w:rPr>
          <w:rFonts w:hint="eastAsia" w:ascii="仿宋_GB2312" w:hAnsi="宋体" w:eastAsia="仿宋_GB2312"/>
          <w:kern w:val="0"/>
          <w:sz w:val="32"/>
          <w:szCs w:val="32"/>
        </w:rPr>
        <w:t>税务局2019年一般公共预算基本支出情况说明</w:t>
      </w:r>
    </w:p>
    <w:p>
      <w:pPr>
        <w:widowControl/>
        <w:spacing w:line="6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七、关于</w:t>
      </w:r>
      <w:r>
        <w:rPr>
          <w:rFonts w:hint="eastAsia" w:ascii="仿宋_GB2312" w:hAnsi="宋体" w:eastAsia="仿宋_GB2312"/>
          <w:kern w:val="0"/>
          <w:sz w:val="32"/>
          <w:szCs w:val="32"/>
          <w:lang w:eastAsia="zh-CN"/>
        </w:rPr>
        <w:t>阜康市</w:t>
      </w:r>
      <w:r>
        <w:rPr>
          <w:rFonts w:hint="eastAsia" w:ascii="仿宋_GB2312" w:hAnsi="宋体" w:eastAsia="仿宋_GB2312"/>
          <w:kern w:val="0"/>
          <w:sz w:val="32"/>
          <w:szCs w:val="32"/>
        </w:rPr>
        <w:t>税务局2019年项目支出情况说明</w:t>
      </w:r>
    </w:p>
    <w:p>
      <w:pPr>
        <w:widowControl/>
        <w:spacing w:line="6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八、关于</w:t>
      </w:r>
      <w:r>
        <w:rPr>
          <w:rFonts w:hint="eastAsia" w:ascii="仿宋_GB2312" w:hAnsi="宋体" w:eastAsia="仿宋_GB2312"/>
          <w:kern w:val="0"/>
          <w:sz w:val="32"/>
          <w:szCs w:val="32"/>
          <w:lang w:eastAsia="zh-CN"/>
        </w:rPr>
        <w:t>阜康市</w:t>
      </w:r>
      <w:r>
        <w:rPr>
          <w:rFonts w:hint="eastAsia" w:ascii="仿宋_GB2312" w:hAnsi="宋体" w:eastAsia="仿宋_GB2312"/>
          <w:kern w:val="0"/>
          <w:sz w:val="32"/>
          <w:szCs w:val="32"/>
        </w:rPr>
        <w:t>税务局2019年一般公共预算“三公”经费预算情况说明</w:t>
      </w:r>
    </w:p>
    <w:p>
      <w:pPr>
        <w:widowControl/>
        <w:spacing w:line="6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九、关于</w:t>
      </w:r>
      <w:r>
        <w:rPr>
          <w:rFonts w:hint="eastAsia" w:ascii="仿宋_GB2312" w:hAnsi="宋体" w:eastAsia="仿宋_GB2312"/>
          <w:kern w:val="0"/>
          <w:sz w:val="32"/>
          <w:szCs w:val="32"/>
          <w:lang w:eastAsia="zh-CN"/>
        </w:rPr>
        <w:t>阜康市</w:t>
      </w:r>
      <w:r>
        <w:rPr>
          <w:rFonts w:hint="eastAsia" w:ascii="仿宋_GB2312" w:hAnsi="宋体" w:eastAsia="仿宋_GB2312"/>
          <w:kern w:val="0"/>
          <w:sz w:val="32"/>
          <w:szCs w:val="32"/>
        </w:rPr>
        <w:t>税务局2019年政府性基金预算拨款情况说明</w:t>
      </w:r>
    </w:p>
    <w:p>
      <w:pPr>
        <w:widowControl/>
        <w:spacing w:line="6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60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adjustRightInd w:val="0"/>
        <w:snapToGrid w:val="0"/>
        <w:spacing w:line="600" w:lineRule="exact"/>
        <w:jc w:val="center"/>
        <w:outlineLvl w:val="1"/>
        <w:rPr>
          <w:rFonts w:ascii="黑体" w:hAnsi="黑体" w:eastAsia="黑体"/>
          <w:b/>
          <w:kern w:val="0"/>
          <w:sz w:val="32"/>
          <w:szCs w:val="32"/>
        </w:rPr>
      </w:pPr>
    </w:p>
    <w:p>
      <w:pPr>
        <w:widowControl/>
        <w:adjustRightInd w:val="0"/>
        <w:snapToGrid w:val="0"/>
        <w:spacing w:line="600" w:lineRule="exact"/>
        <w:jc w:val="center"/>
        <w:outlineLvl w:val="1"/>
        <w:rPr>
          <w:rFonts w:hint="eastAsia" w:ascii="黑体" w:hAnsi="黑体" w:eastAsia="黑体"/>
          <w:b/>
          <w:kern w:val="0"/>
          <w:sz w:val="32"/>
          <w:szCs w:val="32"/>
        </w:rPr>
      </w:pPr>
    </w:p>
    <w:p>
      <w:pPr>
        <w:widowControl/>
        <w:adjustRightInd w:val="0"/>
        <w:snapToGrid w:val="0"/>
        <w:spacing w:line="600" w:lineRule="exact"/>
        <w:jc w:val="center"/>
        <w:outlineLvl w:val="1"/>
        <w:rPr>
          <w:rFonts w:hint="eastAsia" w:ascii="黑体" w:hAnsi="黑体" w:eastAsia="黑体"/>
          <w:b/>
          <w:kern w:val="0"/>
          <w:sz w:val="32"/>
          <w:szCs w:val="32"/>
        </w:rPr>
      </w:pPr>
    </w:p>
    <w:p>
      <w:pPr>
        <w:widowControl/>
        <w:adjustRightInd w:val="0"/>
        <w:snapToGrid w:val="0"/>
        <w:spacing w:line="600" w:lineRule="exact"/>
        <w:jc w:val="center"/>
        <w:outlineLvl w:val="1"/>
        <w:rPr>
          <w:rFonts w:hint="eastAsia" w:ascii="黑体" w:hAnsi="黑体" w:eastAsia="黑体"/>
          <w:b/>
          <w:kern w:val="0"/>
          <w:sz w:val="32"/>
          <w:szCs w:val="32"/>
        </w:rPr>
      </w:pPr>
    </w:p>
    <w:p>
      <w:pPr>
        <w:widowControl/>
        <w:adjustRightInd w:val="0"/>
        <w:snapToGrid w:val="0"/>
        <w:spacing w:line="600" w:lineRule="exact"/>
        <w:jc w:val="center"/>
        <w:outlineLvl w:val="1"/>
        <w:rPr>
          <w:rFonts w:hint="eastAsia" w:ascii="黑体" w:hAnsi="黑体" w:eastAsia="黑体"/>
          <w:b/>
          <w:kern w:val="0"/>
          <w:sz w:val="32"/>
          <w:szCs w:val="32"/>
        </w:rPr>
      </w:pPr>
    </w:p>
    <w:p>
      <w:pPr>
        <w:widowControl/>
        <w:adjustRightInd w:val="0"/>
        <w:snapToGrid w:val="0"/>
        <w:spacing w:line="600" w:lineRule="exact"/>
        <w:jc w:val="center"/>
        <w:outlineLvl w:val="1"/>
        <w:rPr>
          <w:rFonts w:hint="eastAsia" w:ascii="黑体" w:hAnsi="黑体" w:eastAsia="黑体"/>
          <w:b/>
          <w:kern w:val="0"/>
          <w:sz w:val="32"/>
          <w:szCs w:val="32"/>
        </w:rPr>
      </w:pPr>
    </w:p>
    <w:p>
      <w:pPr>
        <w:widowControl/>
        <w:adjustRightInd w:val="0"/>
        <w:snapToGrid w:val="0"/>
        <w:spacing w:line="600" w:lineRule="exact"/>
        <w:jc w:val="center"/>
        <w:outlineLvl w:val="1"/>
        <w:rPr>
          <w:rFonts w:hint="eastAsia" w:ascii="黑体" w:hAnsi="黑体" w:eastAsia="黑体"/>
          <w:b/>
          <w:kern w:val="0"/>
          <w:sz w:val="32"/>
          <w:szCs w:val="32"/>
        </w:rPr>
      </w:pPr>
    </w:p>
    <w:p>
      <w:pPr>
        <w:widowControl/>
        <w:adjustRightInd w:val="0"/>
        <w:snapToGrid w:val="0"/>
        <w:spacing w:line="600" w:lineRule="exact"/>
        <w:jc w:val="center"/>
        <w:outlineLvl w:val="1"/>
        <w:rPr>
          <w:rFonts w:hint="eastAsia" w:ascii="黑体" w:hAnsi="黑体" w:eastAsia="黑体"/>
          <w:b/>
          <w:kern w:val="0"/>
          <w:sz w:val="32"/>
          <w:szCs w:val="32"/>
        </w:rPr>
      </w:pPr>
    </w:p>
    <w:p>
      <w:pPr>
        <w:widowControl/>
        <w:adjustRightInd w:val="0"/>
        <w:snapToGrid w:val="0"/>
        <w:spacing w:line="600" w:lineRule="exact"/>
        <w:jc w:val="center"/>
        <w:outlineLvl w:val="1"/>
        <w:rPr>
          <w:rFonts w:hint="eastAsia" w:ascii="黑体" w:hAnsi="黑体" w:eastAsia="黑体"/>
          <w:b/>
          <w:kern w:val="0"/>
          <w:sz w:val="32"/>
          <w:szCs w:val="32"/>
        </w:rPr>
      </w:pPr>
    </w:p>
    <w:p>
      <w:pPr>
        <w:widowControl/>
        <w:adjustRightInd w:val="0"/>
        <w:snapToGrid w:val="0"/>
        <w:spacing w:line="600" w:lineRule="exact"/>
        <w:jc w:val="center"/>
        <w:outlineLvl w:val="1"/>
        <w:rPr>
          <w:rFonts w:hint="eastAsia" w:ascii="黑体" w:hAnsi="黑体" w:eastAsia="黑体"/>
          <w:b/>
          <w:kern w:val="0"/>
          <w:sz w:val="32"/>
          <w:szCs w:val="32"/>
        </w:rPr>
      </w:pPr>
    </w:p>
    <w:p>
      <w:pPr>
        <w:widowControl/>
        <w:adjustRightInd w:val="0"/>
        <w:snapToGrid w:val="0"/>
        <w:spacing w:line="600" w:lineRule="exact"/>
        <w:jc w:val="center"/>
        <w:outlineLvl w:val="1"/>
        <w:rPr>
          <w:rFonts w:hint="eastAsia" w:ascii="黑体" w:hAnsi="黑体" w:eastAsia="黑体"/>
          <w:b/>
          <w:kern w:val="0"/>
          <w:sz w:val="32"/>
          <w:szCs w:val="32"/>
        </w:rPr>
      </w:pPr>
    </w:p>
    <w:p>
      <w:pPr>
        <w:widowControl/>
        <w:adjustRightInd w:val="0"/>
        <w:snapToGrid w:val="0"/>
        <w:spacing w:line="600" w:lineRule="exact"/>
        <w:jc w:val="center"/>
        <w:outlineLvl w:val="1"/>
        <w:rPr>
          <w:rFonts w:hint="eastAsia" w:ascii="黑体" w:hAnsi="黑体" w:eastAsia="黑体"/>
          <w:b/>
          <w:kern w:val="0"/>
          <w:sz w:val="32"/>
          <w:szCs w:val="32"/>
        </w:rPr>
      </w:pPr>
    </w:p>
    <w:p>
      <w:pPr>
        <w:widowControl/>
        <w:adjustRightInd w:val="0"/>
        <w:snapToGrid w:val="0"/>
        <w:spacing w:line="600" w:lineRule="exact"/>
        <w:jc w:val="center"/>
        <w:outlineLvl w:val="1"/>
        <w:rPr>
          <w:rFonts w:hint="eastAsia" w:ascii="黑体" w:hAnsi="黑体" w:eastAsia="黑体"/>
          <w:b/>
          <w:kern w:val="0"/>
          <w:sz w:val="32"/>
          <w:szCs w:val="32"/>
        </w:rPr>
      </w:pPr>
    </w:p>
    <w:p>
      <w:pPr>
        <w:widowControl/>
        <w:adjustRightInd w:val="0"/>
        <w:snapToGrid w:val="0"/>
        <w:spacing w:line="600" w:lineRule="exact"/>
        <w:jc w:val="center"/>
        <w:outlineLvl w:val="1"/>
        <w:rPr>
          <w:rFonts w:hint="eastAsia" w:ascii="黑体" w:hAnsi="黑体" w:eastAsia="黑体"/>
          <w:b/>
          <w:kern w:val="0"/>
          <w:sz w:val="32"/>
          <w:szCs w:val="32"/>
        </w:rPr>
      </w:pPr>
    </w:p>
    <w:p>
      <w:pPr>
        <w:widowControl/>
        <w:adjustRightInd w:val="0"/>
        <w:snapToGrid w:val="0"/>
        <w:spacing w:line="600" w:lineRule="exact"/>
        <w:jc w:val="center"/>
        <w:outlineLvl w:val="1"/>
        <w:rPr>
          <w:rFonts w:ascii="黑体" w:hAnsi="黑体" w:eastAsia="黑体"/>
          <w:b/>
          <w:kern w:val="0"/>
          <w:sz w:val="32"/>
          <w:szCs w:val="32"/>
        </w:rPr>
      </w:pPr>
      <w:r>
        <w:rPr>
          <w:rFonts w:hint="eastAsia" w:ascii="黑体" w:hAnsi="黑体" w:eastAsia="黑体"/>
          <w:b/>
          <w:kern w:val="0"/>
          <w:sz w:val="32"/>
          <w:szCs w:val="32"/>
        </w:rPr>
        <w:t xml:space="preserve">第一部分  </w:t>
      </w:r>
      <w:r>
        <w:rPr>
          <w:rFonts w:hint="eastAsia" w:ascii="黑体" w:hAnsi="黑体" w:eastAsia="黑体"/>
          <w:b/>
          <w:kern w:val="0"/>
          <w:sz w:val="32"/>
          <w:szCs w:val="32"/>
          <w:lang w:eastAsia="zh-CN"/>
        </w:rPr>
        <w:t>阜康市</w:t>
      </w:r>
      <w:r>
        <w:rPr>
          <w:rFonts w:hint="eastAsia" w:ascii="黑体" w:hAnsi="黑体" w:eastAsia="黑体"/>
          <w:b/>
          <w:kern w:val="0"/>
          <w:sz w:val="32"/>
          <w:szCs w:val="32"/>
        </w:rPr>
        <w:t>税务局概况</w:t>
      </w:r>
    </w:p>
    <w:p>
      <w:pPr>
        <w:widowControl/>
        <w:adjustRightInd w:val="0"/>
        <w:snapToGrid w:val="0"/>
        <w:spacing w:line="600" w:lineRule="exact"/>
        <w:ind w:firstLine="640" w:firstLineChars="200"/>
        <w:outlineLvl w:val="1"/>
        <w:rPr>
          <w:rFonts w:ascii="黑体" w:hAnsi="黑体" w:eastAsia="黑体"/>
          <w:kern w:val="0"/>
          <w:sz w:val="32"/>
          <w:szCs w:val="32"/>
        </w:rPr>
      </w:pPr>
      <w:r>
        <w:rPr>
          <w:rFonts w:hint="eastAsia" w:ascii="黑体" w:hAnsi="黑体" w:eastAsia="黑体"/>
          <w:kern w:val="0"/>
          <w:sz w:val="32"/>
          <w:szCs w:val="32"/>
        </w:rPr>
        <w:t>一、主要职能</w:t>
      </w:r>
    </w:p>
    <w:p>
      <w:pPr>
        <w:widowControl/>
        <w:adjustRightInd w:val="0"/>
        <w:snapToGrid w:val="0"/>
        <w:spacing w:line="600" w:lineRule="exact"/>
        <w:ind w:firstLine="640" w:firstLineChars="200"/>
        <w:outlineLvl w:val="1"/>
        <w:rPr>
          <w:rFonts w:hint="eastAsia" w:ascii="仿宋_GB2312" w:hAnsi="黑体" w:eastAsia="仿宋_GB2312" w:cs="宋体"/>
          <w:bCs/>
          <w:kern w:val="0"/>
          <w:sz w:val="32"/>
          <w:szCs w:val="32"/>
          <w:lang w:eastAsia="zh-CN"/>
        </w:rPr>
      </w:pPr>
      <w:r>
        <w:rPr>
          <w:rFonts w:hint="eastAsia" w:ascii="仿宋_GB2312" w:hAnsi="黑体" w:eastAsia="仿宋_GB2312" w:cs="宋体"/>
          <w:bCs/>
          <w:kern w:val="0"/>
          <w:sz w:val="32"/>
          <w:szCs w:val="32"/>
        </w:rPr>
        <w:t>贯彻执行国家和自治区的税收法律法规、规章及规范性文件，研究、落实上级税务部门制定的地方各税费在本市的具体征收管理实施办法</w:t>
      </w:r>
      <w:r>
        <w:rPr>
          <w:rFonts w:hint="eastAsia" w:ascii="仿宋_GB2312" w:hAnsi="黑体" w:eastAsia="仿宋_GB2312" w:cs="宋体"/>
          <w:bCs/>
          <w:kern w:val="0"/>
          <w:sz w:val="32"/>
          <w:szCs w:val="32"/>
          <w:lang w:eastAsia="zh-CN"/>
        </w:rPr>
        <w:t>。</w:t>
      </w:r>
    </w:p>
    <w:p>
      <w:pPr>
        <w:widowControl/>
        <w:adjustRightInd w:val="0"/>
        <w:snapToGrid w:val="0"/>
        <w:spacing w:line="600" w:lineRule="exact"/>
        <w:ind w:firstLine="640" w:firstLineChars="200"/>
        <w:outlineLvl w:val="1"/>
        <w:rPr>
          <w:rFonts w:hint="eastAsia" w:ascii="仿宋_GB2312" w:hAnsi="黑体" w:eastAsia="仿宋_GB2312" w:cs="宋体"/>
          <w:bCs/>
          <w:kern w:val="0"/>
          <w:sz w:val="32"/>
          <w:szCs w:val="32"/>
          <w:lang w:eastAsia="zh-CN"/>
        </w:rPr>
      </w:pPr>
      <w:r>
        <w:rPr>
          <w:rFonts w:hint="eastAsia" w:ascii="仿宋_GB2312" w:hAnsi="黑体" w:eastAsia="仿宋_GB2312" w:cs="宋体"/>
          <w:bCs/>
          <w:kern w:val="0"/>
          <w:sz w:val="32"/>
          <w:szCs w:val="32"/>
        </w:rPr>
        <w:t>负责</w:t>
      </w:r>
      <w:r>
        <w:rPr>
          <w:rFonts w:hint="eastAsia" w:ascii="仿宋_GB2312" w:hAnsi="宋体" w:eastAsia="仿宋_GB2312"/>
          <w:kern w:val="0"/>
          <w:sz w:val="32"/>
          <w:szCs w:val="32"/>
        </w:rPr>
        <w:t>所辖区域内各项税收</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rPr>
        <w:t>社会保险费</w:t>
      </w:r>
      <w:r>
        <w:rPr>
          <w:rFonts w:hint="eastAsia" w:ascii="仿宋_GB2312" w:hAnsi="宋体" w:eastAsia="仿宋_GB2312"/>
          <w:kern w:val="0"/>
          <w:sz w:val="32"/>
          <w:szCs w:val="32"/>
          <w:lang w:eastAsia="zh-CN"/>
        </w:rPr>
        <w:t>、</w:t>
      </w:r>
      <w:r>
        <w:rPr>
          <w:rFonts w:hint="eastAsia" w:ascii="仿宋_GB2312" w:hAnsi="黑体" w:eastAsia="仿宋_GB2312" w:cs="宋体"/>
          <w:bCs/>
          <w:kern w:val="0"/>
          <w:sz w:val="32"/>
          <w:szCs w:val="32"/>
        </w:rPr>
        <w:t>文化事业建设费、地方教育附加、残疾人就业保障金及工会经费</w:t>
      </w:r>
      <w:r>
        <w:rPr>
          <w:rFonts w:hint="eastAsia" w:ascii="仿宋_GB2312" w:hAnsi="黑体" w:eastAsia="仿宋_GB2312" w:cs="宋体"/>
          <w:bCs/>
          <w:kern w:val="0"/>
          <w:sz w:val="32"/>
          <w:szCs w:val="32"/>
          <w:lang w:eastAsia="zh-CN"/>
        </w:rPr>
        <w:t>等</w:t>
      </w:r>
      <w:r>
        <w:rPr>
          <w:rFonts w:hint="eastAsia" w:ascii="仿宋_GB2312" w:hAnsi="宋体" w:eastAsia="仿宋_GB2312"/>
          <w:kern w:val="0"/>
          <w:sz w:val="32"/>
          <w:szCs w:val="32"/>
        </w:rPr>
        <w:t>有关非税收入</w:t>
      </w:r>
      <w:r>
        <w:rPr>
          <w:rFonts w:hint="eastAsia" w:ascii="仿宋_GB2312" w:hAnsi="黑体" w:eastAsia="仿宋_GB2312" w:cs="宋体"/>
          <w:bCs/>
          <w:kern w:val="0"/>
          <w:sz w:val="32"/>
          <w:szCs w:val="32"/>
        </w:rPr>
        <w:t>的代征工作</w:t>
      </w:r>
      <w:r>
        <w:rPr>
          <w:rFonts w:hint="eastAsia" w:ascii="仿宋_GB2312" w:hAnsi="黑体" w:eastAsia="仿宋_GB2312" w:cs="宋体"/>
          <w:bCs/>
          <w:kern w:val="0"/>
          <w:sz w:val="32"/>
          <w:szCs w:val="32"/>
          <w:lang w:eastAsia="zh-CN"/>
        </w:rPr>
        <w:t>。</w:t>
      </w:r>
      <w:r>
        <w:rPr>
          <w:rFonts w:hint="eastAsia" w:ascii="仿宋_GB2312" w:hAnsi="宋体" w:eastAsia="仿宋_GB2312"/>
          <w:kern w:val="0"/>
          <w:sz w:val="32"/>
          <w:szCs w:val="32"/>
        </w:rPr>
        <w:t>负责本</w:t>
      </w:r>
      <w:r>
        <w:rPr>
          <w:rFonts w:hint="eastAsia" w:ascii="仿宋_GB2312" w:hAnsi="宋体" w:eastAsia="仿宋_GB2312"/>
          <w:kern w:val="0"/>
          <w:sz w:val="32"/>
          <w:szCs w:val="32"/>
          <w:lang w:eastAsia="zh-CN"/>
        </w:rPr>
        <w:t>单位</w:t>
      </w:r>
      <w:r>
        <w:rPr>
          <w:rFonts w:hint="eastAsia" w:ascii="仿宋_GB2312" w:hAnsi="宋体" w:eastAsia="仿宋_GB2312"/>
          <w:kern w:val="0"/>
          <w:sz w:val="32"/>
          <w:szCs w:val="32"/>
        </w:rPr>
        <w:t>税收、社会保险费和有关非税收入的会统核算工作。</w:t>
      </w:r>
    </w:p>
    <w:p>
      <w:pPr>
        <w:widowControl/>
        <w:adjustRightInd w:val="0"/>
        <w:snapToGrid w:val="0"/>
        <w:spacing w:line="600" w:lineRule="exact"/>
        <w:ind w:firstLine="640" w:firstLineChars="200"/>
        <w:outlineLvl w:val="1"/>
        <w:rPr>
          <w:rFonts w:hint="eastAsia" w:ascii="仿宋_GB2312" w:hAnsi="宋体" w:eastAsia="仿宋_GB2312"/>
          <w:kern w:val="0"/>
          <w:sz w:val="32"/>
          <w:szCs w:val="32"/>
        </w:rPr>
      </w:pPr>
      <w:r>
        <w:rPr>
          <w:rFonts w:hint="eastAsia" w:ascii="仿宋_GB2312" w:hAnsi="宋体" w:eastAsia="仿宋_GB2312"/>
          <w:kern w:val="0"/>
          <w:sz w:val="32"/>
          <w:szCs w:val="32"/>
        </w:rPr>
        <w:t>组织开展纳税服务、税收宣传工作，保护纳税人、缴费人合法权益。承担涉及税收、社会保险费和有关非税收入的行政处罚听证、行政复议和行政诉讼事项。</w:t>
      </w:r>
    </w:p>
    <w:p>
      <w:pPr>
        <w:widowControl/>
        <w:adjustRightInd w:val="0"/>
        <w:snapToGrid w:val="0"/>
        <w:spacing w:line="600" w:lineRule="exact"/>
        <w:ind w:firstLine="640" w:firstLineChars="200"/>
        <w:outlineLvl w:val="1"/>
        <w:rPr>
          <w:rFonts w:hint="eastAsia" w:ascii="仿宋_GB2312" w:hAnsi="宋体" w:eastAsia="仿宋_GB2312"/>
          <w:kern w:val="0"/>
          <w:sz w:val="32"/>
          <w:szCs w:val="32"/>
        </w:rPr>
      </w:pPr>
      <w:r>
        <w:rPr>
          <w:rFonts w:hint="eastAsia" w:ascii="仿宋_GB2312" w:hAnsi="黑体" w:eastAsia="仿宋_GB2312" w:cs="宋体"/>
          <w:bCs/>
          <w:kern w:val="0"/>
          <w:sz w:val="32"/>
          <w:szCs w:val="32"/>
        </w:rPr>
        <w:t>负责</w:t>
      </w:r>
      <w:r>
        <w:rPr>
          <w:rFonts w:hint="eastAsia" w:ascii="仿宋_GB2312" w:hAnsi="宋体" w:eastAsia="仿宋_GB2312"/>
          <w:kern w:val="0"/>
          <w:sz w:val="32"/>
          <w:szCs w:val="32"/>
        </w:rPr>
        <w:t>辖区域内</w:t>
      </w:r>
      <w:r>
        <w:rPr>
          <w:rFonts w:hint="eastAsia" w:ascii="仿宋_GB2312" w:hAnsi="黑体" w:eastAsia="仿宋_GB2312" w:cs="宋体"/>
          <w:bCs/>
          <w:kern w:val="0"/>
          <w:sz w:val="32"/>
          <w:szCs w:val="32"/>
        </w:rPr>
        <w:t>税收的检查工作</w:t>
      </w:r>
      <w:r>
        <w:rPr>
          <w:rFonts w:hint="eastAsia" w:ascii="仿宋_GB2312" w:hAnsi="黑体" w:eastAsia="仿宋_GB2312" w:cs="宋体"/>
          <w:bCs/>
          <w:kern w:val="0"/>
          <w:sz w:val="32"/>
          <w:szCs w:val="32"/>
          <w:lang w:eastAsia="zh-CN"/>
        </w:rPr>
        <w:t>，</w:t>
      </w:r>
      <w:r>
        <w:rPr>
          <w:rFonts w:hint="eastAsia" w:ascii="仿宋_GB2312" w:hAnsi="宋体" w:eastAsia="仿宋_GB2312"/>
          <w:kern w:val="0"/>
          <w:sz w:val="32"/>
          <w:szCs w:val="32"/>
        </w:rPr>
        <w:t>组织实施税（费）源监控和风险管理，加强大企业和自然人税收管理。</w:t>
      </w:r>
    </w:p>
    <w:p>
      <w:pPr>
        <w:widowControl/>
        <w:adjustRightInd w:val="0"/>
        <w:snapToGrid w:val="0"/>
        <w:spacing w:line="60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负责所辖区域内国际税收和进出口税收管理工作，组织反避税调查和出口退税事项办理。</w:t>
      </w:r>
    </w:p>
    <w:p>
      <w:pPr>
        <w:widowControl/>
        <w:adjustRightInd w:val="0"/>
        <w:snapToGrid w:val="0"/>
        <w:spacing w:line="60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负责组织实施所辖区域内税</w:t>
      </w:r>
      <w:r>
        <w:rPr>
          <w:rFonts w:hint="eastAsia" w:ascii="仿宋_GB2312" w:hAnsi="宋体" w:eastAsia="仿宋_GB2312"/>
          <w:kern w:val="0"/>
          <w:sz w:val="32"/>
          <w:szCs w:val="32"/>
          <w:lang w:eastAsia="zh-CN"/>
        </w:rPr>
        <w:t>务</w:t>
      </w:r>
      <w:r>
        <w:rPr>
          <w:rFonts w:hint="eastAsia" w:ascii="仿宋_GB2312" w:hAnsi="宋体" w:eastAsia="仿宋_GB2312"/>
          <w:kern w:val="0"/>
          <w:sz w:val="32"/>
          <w:szCs w:val="32"/>
        </w:rPr>
        <w:t>和社会保险费、有关非税收入检查工作。</w:t>
      </w:r>
    </w:p>
    <w:p>
      <w:pPr>
        <w:widowControl/>
        <w:adjustRightInd w:val="0"/>
        <w:snapToGrid w:val="0"/>
        <w:spacing w:line="600" w:lineRule="exact"/>
        <w:ind w:firstLine="640" w:firstLineChars="200"/>
        <w:outlineLvl w:val="1"/>
        <w:rPr>
          <w:rFonts w:hint="eastAsia" w:ascii="仿宋_GB2312" w:hAnsi="宋体" w:eastAsia="仿宋_GB2312"/>
          <w:kern w:val="0"/>
          <w:sz w:val="32"/>
          <w:szCs w:val="32"/>
        </w:rPr>
      </w:pPr>
      <w:r>
        <w:rPr>
          <w:rFonts w:hint="eastAsia" w:ascii="仿宋_GB2312" w:hAnsi="宋体" w:eastAsia="仿宋_GB2312"/>
          <w:kern w:val="0"/>
          <w:sz w:val="32"/>
          <w:szCs w:val="32"/>
        </w:rPr>
        <w:t>负责组织实施本</w:t>
      </w:r>
      <w:r>
        <w:rPr>
          <w:rFonts w:hint="eastAsia" w:ascii="仿宋_GB2312" w:hAnsi="宋体" w:eastAsia="仿宋_GB2312"/>
          <w:kern w:val="0"/>
          <w:sz w:val="32"/>
          <w:szCs w:val="32"/>
          <w:lang w:eastAsia="zh-CN"/>
        </w:rPr>
        <w:t>单位</w:t>
      </w:r>
      <w:r>
        <w:rPr>
          <w:rFonts w:hint="eastAsia" w:ascii="仿宋_GB2312" w:hAnsi="宋体" w:eastAsia="仿宋_GB2312"/>
          <w:kern w:val="0"/>
          <w:sz w:val="32"/>
          <w:szCs w:val="32"/>
        </w:rPr>
        <w:t>各项税收、社会保险费和有关非税收入征管信息化建设和数据治理工作。</w:t>
      </w:r>
    </w:p>
    <w:p>
      <w:pPr>
        <w:widowControl/>
        <w:adjustRightInd w:val="0"/>
        <w:snapToGrid w:val="0"/>
        <w:spacing w:line="600" w:lineRule="exact"/>
        <w:ind w:firstLine="640" w:firstLineChars="200"/>
        <w:outlineLvl w:val="1"/>
        <w:rPr>
          <w:rFonts w:hint="eastAsia" w:ascii="仿宋_GB2312" w:hAnsi="宋体" w:eastAsia="仿宋_GB2312"/>
          <w:kern w:val="0"/>
          <w:sz w:val="32"/>
          <w:szCs w:val="32"/>
        </w:rPr>
      </w:pPr>
      <w:r>
        <w:rPr>
          <w:rFonts w:hint="eastAsia" w:ascii="仿宋_GB2312" w:hAnsi="宋体" w:eastAsia="仿宋_GB2312"/>
          <w:kern w:val="0"/>
          <w:sz w:val="32"/>
          <w:szCs w:val="32"/>
        </w:rPr>
        <w:t>负责本</w:t>
      </w:r>
      <w:r>
        <w:rPr>
          <w:rFonts w:hint="eastAsia" w:ascii="仿宋_GB2312" w:hAnsi="宋体" w:eastAsia="仿宋_GB2312"/>
          <w:kern w:val="0"/>
          <w:sz w:val="32"/>
          <w:szCs w:val="32"/>
          <w:lang w:eastAsia="zh-CN"/>
        </w:rPr>
        <w:t>单位</w:t>
      </w:r>
      <w:r>
        <w:rPr>
          <w:rFonts w:hint="eastAsia" w:ascii="仿宋_GB2312" w:hAnsi="宋体" w:eastAsia="仿宋_GB2312"/>
          <w:kern w:val="0"/>
          <w:sz w:val="32"/>
          <w:szCs w:val="32"/>
        </w:rPr>
        <w:t>增值税专用发票、普通发票和其他各类发票管理。负责本</w:t>
      </w:r>
      <w:r>
        <w:rPr>
          <w:rFonts w:hint="eastAsia" w:ascii="仿宋_GB2312" w:hAnsi="宋体" w:eastAsia="仿宋_GB2312"/>
          <w:kern w:val="0"/>
          <w:sz w:val="32"/>
          <w:szCs w:val="32"/>
          <w:lang w:eastAsia="zh-CN"/>
        </w:rPr>
        <w:t>单位</w:t>
      </w:r>
      <w:r>
        <w:rPr>
          <w:rFonts w:hint="eastAsia" w:ascii="仿宋_GB2312" w:hAnsi="宋体" w:eastAsia="仿宋_GB2312"/>
          <w:kern w:val="0"/>
          <w:sz w:val="32"/>
          <w:szCs w:val="32"/>
        </w:rPr>
        <w:t>税收、社会保险费和有关非税收入票证管理。</w:t>
      </w:r>
    </w:p>
    <w:p>
      <w:pPr>
        <w:widowControl/>
        <w:adjustRightInd w:val="0"/>
        <w:snapToGrid w:val="0"/>
        <w:spacing w:line="600" w:lineRule="exact"/>
        <w:ind w:firstLine="640" w:firstLineChars="200"/>
        <w:outlineLvl w:val="1"/>
        <w:rPr>
          <w:rFonts w:hint="eastAsia" w:ascii="仿宋_GB2312" w:hAnsi="宋体" w:eastAsia="仿宋_GB2312"/>
          <w:kern w:val="0"/>
          <w:sz w:val="32"/>
          <w:szCs w:val="32"/>
        </w:rPr>
      </w:pPr>
      <w:r>
        <w:rPr>
          <w:rFonts w:hint="eastAsia" w:ascii="仿宋_GB2312" w:hAnsi="宋体" w:eastAsia="仿宋_GB2312"/>
          <w:kern w:val="0"/>
          <w:sz w:val="32"/>
          <w:szCs w:val="32"/>
        </w:rPr>
        <w:t>负责本</w:t>
      </w:r>
      <w:r>
        <w:rPr>
          <w:rFonts w:hint="eastAsia" w:ascii="仿宋_GB2312" w:hAnsi="宋体" w:eastAsia="仿宋_GB2312"/>
          <w:kern w:val="0"/>
          <w:sz w:val="32"/>
          <w:szCs w:val="32"/>
          <w:lang w:eastAsia="zh-CN"/>
        </w:rPr>
        <w:t>单位</w:t>
      </w:r>
      <w:r>
        <w:rPr>
          <w:rFonts w:hint="eastAsia" w:ascii="仿宋_GB2312" w:hAnsi="宋体" w:eastAsia="仿宋_GB2312"/>
          <w:kern w:val="0"/>
          <w:sz w:val="32"/>
          <w:szCs w:val="32"/>
        </w:rPr>
        <w:t>内部控制机制建设工作，开展对本</w:t>
      </w:r>
      <w:r>
        <w:rPr>
          <w:rFonts w:hint="eastAsia" w:ascii="仿宋_GB2312" w:hAnsi="宋体" w:eastAsia="仿宋_GB2312"/>
          <w:kern w:val="0"/>
          <w:sz w:val="32"/>
          <w:szCs w:val="32"/>
          <w:lang w:eastAsia="zh-CN"/>
        </w:rPr>
        <w:t>单位</w:t>
      </w:r>
      <w:r>
        <w:rPr>
          <w:rFonts w:hint="eastAsia" w:ascii="仿宋_GB2312" w:hAnsi="宋体" w:eastAsia="仿宋_GB2312"/>
          <w:kern w:val="0"/>
          <w:sz w:val="32"/>
          <w:szCs w:val="32"/>
        </w:rPr>
        <w:t>贯彻执行</w:t>
      </w:r>
      <w:r>
        <w:rPr>
          <w:rFonts w:hint="eastAsia" w:ascii="仿宋_GB2312" w:hAnsi="宋体" w:eastAsia="仿宋_GB2312"/>
          <w:kern w:val="0"/>
          <w:sz w:val="32"/>
          <w:szCs w:val="32"/>
          <w:lang w:eastAsia="zh-CN"/>
        </w:rPr>
        <w:t>国家税务总局</w:t>
      </w:r>
      <w:r>
        <w:rPr>
          <w:rFonts w:hint="eastAsia" w:ascii="仿宋_GB2312" w:hAnsi="宋体" w:eastAsia="仿宋_GB2312"/>
          <w:kern w:val="0"/>
          <w:sz w:val="32"/>
          <w:szCs w:val="32"/>
        </w:rPr>
        <w:t>、</w:t>
      </w:r>
      <w:r>
        <w:rPr>
          <w:rFonts w:hint="eastAsia" w:ascii="仿宋_GB2312" w:hAnsi="宋体" w:eastAsia="仿宋_GB2312"/>
          <w:kern w:val="0"/>
          <w:sz w:val="32"/>
          <w:szCs w:val="32"/>
          <w:lang w:eastAsia="zh-CN"/>
        </w:rPr>
        <w:t>区州两级</w:t>
      </w:r>
      <w:r>
        <w:rPr>
          <w:rFonts w:hint="eastAsia" w:ascii="仿宋_GB2312" w:hAnsi="宋体" w:eastAsia="仿宋_GB2312"/>
          <w:kern w:val="0"/>
          <w:sz w:val="32"/>
          <w:szCs w:val="32"/>
        </w:rPr>
        <w:t>重大决策及上级工作部署情况的督查督办，组织实施税收执行法督察。</w:t>
      </w:r>
    </w:p>
    <w:p>
      <w:pPr>
        <w:widowControl/>
        <w:adjustRightInd w:val="0"/>
        <w:snapToGrid w:val="0"/>
        <w:spacing w:line="60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负责本</w:t>
      </w:r>
      <w:r>
        <w:rPr>
          <w:rFonts w:hint="eastAsia" w:ascii="仿宋_GB2312" w:hAnsi="宋体" w:eastAsia="仿宋_GB2312"/>
          <w:kern w:val="0"/>
          <w:sz w:val="32"/>
          <w:szCs w:val="32"/>
          <w:lang w:eastAsia="zh-CN"/>
        </w:rPr>
        <w:t>单位</w:t>
      </w:r>
      <w:r>
        <w:rPr>
          <w:rFonts w:hint="eastAsia" w:ascii="仿宋_GB2312" w:hAnsi="宋体" w:eastAsia="仿宋_GB2312"/>
          <w:kern w:val="0"/>
          <w:sz w:val="32"/>
          <w:szCs w:val="32"/>
        </w:rPr>
        <w:t>队伍建设工作，加强领导班子和后备干部队伍建设，承担税务人才培养和干部教育培训工作。负责本</w:t>
      </w:r>
      <w:r>
        <w:rPr>
          <w:rFonts w:hint="eastAsia" w:ascii="仿宋_GB2312" w:hAnsi="宋体" w:eastAsia="仿宋_GB2312"/>
          <w:kern w:val="0"/>
          <w:sz w:val="32"/>
          <w:szCs w:val="32"/>
          <w:lang w:eastAsia="zh-CN"/>
        </w:rPr>
        <w:t>单位</w:t>
      </w:r>
      <w:r>
        <w:rPr>
          <w:rFonts w:hint="eastAsia" w:ascii="仿宋_GB2312" w:hAnsi="宋体" w:eastAsia="仿宋_GB2312"/>
          <w:kern w:val="0"/>
          <w:sz w:val="32"/>
          <w:szCs w:val="32"/>
        </w:rPr>
        <w:t>绩效管理和干部考核工作。</w:t>
      </w:r>
    </w:p>
    <w:p>
      <w:pPr>
        <w:widowControl/>
        <w:adjustRightInd w:val="0"/>
        <w:snapToGrid w:val="0"/>
        <w:spacing w:line="600" w:lineRule="exact"/>
        <w:ind w:firstLine="640" w:firstLineChars="200"/>
        <w:outlineLvl w:val="1"/>
        <w:rPr>
          <w:rFonts w:hint="eastAsia" w:ascii="仿宋_GB2312" w:hAnsi="宋体" w:eastAsia="仿宋_GB2312"/>
          <w:kern w:val="0"/>
          <w:sz w:val="32"/>
          <w:szCs w:val="32"/>
        </w:rPr>
      </w:pPr>
      <w:r>
        <w:rPr>
          <w:rFonts w:hint="eastAsia" w:ascii="仿宋_GB2312" w:hAnsi="宋体" w:eastAsia="仿宋_GB2312"/>
          <w:kern w:val="0"/>
          <w:sz w:val="32"/>
          <w:szCs w:val="32"/>
        </w:rPr>
        <w:t>负责本</w:t>
      </w:r>
      <w:r>
        <w:rPr>
          <w:rFonts w:hint="eastAsia" w:ascii="仿宋_GB2312" w:hAnsi="宋体" w:eastAsia="仿宋_GB2312"/>
          <w:kern w:val="0"/>
          <w:sz w:val="32"/>
          <w:szCs w:val="32"/>
          <w:lang w:eastAsia="zh-CN"/>
        </w:rPr>
        <w:t>单位</w:t>
      </w:r>
      <w:r>
        <w:rPr>
          <w:rFonts w:hint="eastAsia" w:ascii="仿宋_GB2312" w:hAnsi="宋体" w:eastAsia="仿宋_GB2312"/>
          <w:kern w:val="0"/>
          <w:sz w:val="32"/>
          <w:szCs w:val="32"/>
        </w:rPr>
        <w:t>机构、编制、经费和资产管理工作。</w:t>
      </w:r>
    </w:p>
    <w:p>
      <w:pPr>
        <w:widowControl/>
        <w:adjustRightInd w:val="0"/>
        <w:snapToGrid w:val="0"/>
        <w:spacing w:line="600" w:lineRule="exact"/>
        <w:ind w:firstLine="640" w:firstLineChars="200"/>
        <w:outlineLvl w:val="1"/>
        <w:rPr>
          <w:rFonts w:ascii="仿宋_GB2312" w:hAnsi="宋体" w:eastAsia="仿宋_GB2312"/>
          <w:kern w:val="0"/>
          <w:sz w:val="32"/>
          <w:szCs w:val="32"/>
        </w:rPr>
      </w:pPr>
      <w:r>
        <w:rPr>
          <w:rFonts w:hint="eastAsia" w:ascii="仿宋_GB2312" w:hAnsi="黑体" w:eastAsia="仿宋_GB2312" w:cs="宋体"/>
          <w:bCs/>
          <w:kern w:val="0"/>
          <w:sz w:val="32"/>
          <w:szCs w:val="32"/>
        </w:rPr>
        <w:t>承办昌吉回族自治州税务局和</w:t>
      </w:r>
      <w:r>
        <w:rPr>
          <w:rFonts w:hint="eastAsia" w:ascii="仿宋_GB2312" w:hAnsi="宋体" w:eastAsia="仿宋_GB2312"/>
          <w:kern w:val="0"/>
          <w:sz w:val="32"/>
          <w:szCs w:val="32"/>
          <w:lang w:eastAsia="zh-CN"/>
        </w:rPr>
        <w:t>阜康市</w:t>
      </w:r>
      <w:r>
        <w:rPr>
          <w:rFonts w:hint="eastAsia" w:ascii="仿宋_GB2312" w:hAnsi="宋体" w:eastAsia="仿宋_GB2312"/>
          <w:kern w:val="0"/>
          <w:sz w:val="32"/>
          <w:szCs w:val="32"/>
        </w:rPr>
        <w:t>党委、政府</w:t>
      </w:r>
      <w:r>
        <w:rPr>
          <w:rFonts w:hint="eastAsia" w:ascii="仿宋_GB2312" w:hAnsi="黑体" w:eastAsia="仿宋_GB2312" w:cs="宋体"/>
          <w:bCs/>
          <w:kern w:val="0"/>
          <w:sz w:val="32"/>
          <w:szCs w:val="32"/>
        </w:rPr>
        <w:t>交办的其他工作。</w:t>
      </w:r>
    </w:p>
    <w:p>
      <w:pPr>
        <w:widowControl/>
        <w:adjustRightInd w:val="0"/>
        <w:snapToGrid w:val="0"/>
        <w:spacing w:line="600" w:lineRule="exact"/>
        <w:outlineLvl w:val="1"/>
        <w:rPr>
          <w:rFonts w:ascii="黑体" w:hAnsi="黑体" w:eastAsia="黑体"/>
          <w:kern w:val="0"/>
          <w:sz w:val="32"/>
          <w:szCs w:val="32"/>
        </w:rPr>
      </w:pPr>
      <w:r>
        <w:rPr>
          <w:rFonts w:hint="eastAsia" w:ascii="仿宋_GB2312" w:hAnsi="宋体" w:eastAsia="仿宋_GB2312"/>
          <w:kern w:val="0"/>
          <w:sz w:val="32"/>
          <w:szCs w:val="32"/>
        </w:rPr>
        <w:t xml:space="preserve"> </w:t>
      </w:r>
      <w:r>
        <w:rPr>
          <w:rFonts w:hint="eastAsia" w:ascii="黑体" w:hAnsi="黑体" w:eastAsia="黑体"/>
          <w:kern w:val="0"/>
          <w:sz w:val="32"/>
          <w:szCs w:val="32"/>
        </w:rPr>
        <w:t xml:space="preserve">   二、机构及人员情况</w:t>
      </w:r>
    </w:p>
    <w:p>
      <w:pPr>
        <w:pStyle w:val="23"/>
        <w:snapToGrid w:val="0"/>
        <w:spacing w:line="600" w:lineRule="exact"/>
        <w:ind w:firstLine="640" w:firstLineChars="200"/>
        <w:rPr>
          <w:sz w:val="32"/>
          <w:szCs w:val="32"/>
        </w:rPr>
      </w:pPr>
      <w:r>
        <w:rPr>
          <w:rFonts w:hint="eastAsia" w:ascii="仿宋_GB2312" w:hAnsi="黑体" w:eastAsia="仿宋_GB2312" w:cs="宋体"/>
          <w:bCs/>
          <w:kern w:val="0"/>
          <w:sz w:val="32"/>
          <w:szCs w:val="32"/>
        </w:rPr>
        <w:t>阜康市地方税务局无下属预算单位</w:t>
      </w:r>
      <w:r>
        <w:rPr>
          <w:rFonts w:hint="eastAsia" w:hAnsi="黑体" w:cs="宋体"/>
          <w:bCs/>
          <w:kern w:val="0"/>
          <w:sz w:val="32"/>
          <w:szCs w:val="32"/>
          <w:lang w:eastAsia="zh-CN"/>
        </w:rPr>
        <w:t>。</w:t>
      </w:r>
      <w:r>
        <w:rPr>
          <w:sz w:val="32"/>
          <w:szCs w:val="32"/>
        </w:rPr>
        <w:t xml:space="preserve"> </w:t>
      </w:r>
    </w:p>
    <w:p>
      <w:pPr>
        <w:pStyle w:val="23"/>
        <w:snapToGrid w:val="0"/>
        <w:spacing w:line="600" w:lineRule="exact"/>
        <w:ind w:firstLine="640" w:firstLineChars="200"/>
        <w:rPr>
          <w:sz w:val="32"/>
          <w:szCs w:val="32"/>
        </w:rPr>
      </w:pPr>
      <w:r>
        <w:rPr>
          <w:rFonts w:hint="eastAsia"/>
          <w:sz w:val="32"/>
          <w:szCs w:val="32"/>
          <w:lang w:eastAsia="zh-CN"/>
        </w:rPr>
        <w:t>阜康市</w:t>
      </w:r>
      <w:r>
        <w:rPr>
          <w:rFonts w:hint="eastAsia"/>
          <w:sz w:val="32"/>
          <w:szCs w:val="32"/>
        </w:rPr>
        <w:t>税务局，设</w:t>
      </w:r>
      <w:r>
        <w:rPr>
          <w:rFonts w:hint="eastAsia"/>
          <w:sz w:val="32"/>
          <w:szCs w:val="32"/>
          <w:lang w:val="en-US" w:eastAsia="zh-CN"/>
        </w:rPr>
        <w:t>13</w:t>
      </w:r>
      <w:r>
        <w:rPr>
          <w:rFonts w:hint="eastAsia"/>
          <w:sz w:val="32"/>
          <w:szCs w:val="32"/>
        </w:rPr>
        <w:t>个内设机构、</w:t>
      </w:r>
      <w:r>
        <w:rPr>
          <w:rFonts w:hint="eastAsia"/>
          <w:sz w:val="32"/>
          <w:szCs w:val="32"/>
          <w:lang w:val="en-US" w:eastAsia="zh-CN"/>
        </w:rPr>
        <w:t>2</w:t>
      </w:r>
      <w:r>
        <w:rPr>
          <w:rFonts w:hint="eastAsia"/>
          <w:sz w:val="32"/>
          <w:szCs w:val="32"/>
        </w:rPr>
        <w:t>个派出机构、</w:t>
      </w:r>
      <w:r>
        <w:rPr>
          <w:rFonts w:hint="eastAsia"/>
          <w:sz w:val="32"/>
          <w:szCs w:val="32"/>
          <w:lang w:val="en-US" w:eastAsia="zh-CN"/>
        </w:rPr>
        <w:t>1</w:t>
      </w:r>
      <w:r>
        <w:rPr>
          <w:rFonts w:hint="eastAsia"/>
          <w:sz w:val="32"/>
          <w:szCs w:val="32"/>
        </w:rPr>
        <w:t>个事业单位</w:t>
      </w:r>
      <w:r>
        <w:rPr>
          <w:rFonts w:hint="eastAsia"/>
          <w:sz w:val="32"/>
          <w:szCs w:val="32"/>
          <w:lang w:eastAsia="zh-CN"/>
        </w:rPr>
        <w:t>。除</w:t>
      </w:r>
      <w:r>
        <w:rPr>
          <w:rFonts w:hint="eastAsia"/>
          <w:sz w:val="32"/>
          <w:szCs w:val="32"/>
          <w:lang w:val="en-US" w:eastAsia="zh-CN"/>
        </w:rPr>
        <w:t>1</w:t>
      </w:r>
      <w:r>
        <w:rPr>
          <w:rFonts w:hint="eastAsia"/>
          <w:sz w:val="32"/>
          <w:szCs w:val="32"/>
          <w:lang w:eastAsia="zh-CN"/>
        </w:rPr>
        <w:t>个派出机构（第一税务分局）级别为副科级，其余</w:t>
      </w:r>
      <w:r>
        <w:rPr>
          <w:rFonts w:hint="eastAsia"/>
          <w:sz w:val="32"/>
          <w:szCs w:val="32"/>
        </w:rPr>
        <w:t>级别均为</w:t>
      </w:r>
      <w:r>
        <w:rPr>
          <w:rFonts w:hint="eastAsia"/>
          <w:sz w:val="32"/>
          <w:szCs w:val="32"/>
          <w:lang w:eastAsia="zh-CN"/>
        </w:rPr>
        <w:t>正股</w:t>
      </w:r>
      <w:r>
        <w:rPr>
          <w:rFonts w:hint="eastAsia"/>
          <w:sz w:val="32"/>
          <w:szCs w:val="32"/>
        </w:rPr>
        <w:t>级。</w:t>
      </w:r>
    </w:p>
    <w:p>
      <w:pPr>
        <w:pStyle w:val="23"/>
        <w:snapToGrid w:val="0"/>
        <w:spacing w:line="600" w:lineRule="exact"/>
        <w:ind w:firstLine="643" w:firstLineChars="200"/>
        <w:rPr>
          <w:sz w:val="32"/>
          <w:szCs w:val="32"/>
        </w:rPr>
      </w:pPr>
      <w:r>
        <w:rPr>
          <w:rFonts w:hint="eastAsia"/>
          <w:b/>
          <w:sz w:val="32"/>
          <w:szCs w:val="32"/>
        </w:rPr>
        <w:t>（一）内设机构</w:t>
      </w:r>
      <w:r>
        <w:rPr>
          <w:rFonts w:hint="eastAsia"/>
          <w:sz w:val="32"/>
          <w:szCs w:val="32"/>
        </w:rPr>
        <w:t>：办公室、法制股、税政股</w:t>
      </w:r>
      <w:r>
        <w:rPr>
          <w:rFonts w:hint="eastAsia"/>
          <w:sz w:val="32"/>
          <w:szCs w:val="32"/>
          <w:lang w:eastAsia="zh-CN"/>
        </w:rPr>
        <w:t>、社会保险和非税收入股、纳税服务股、征收管理股、收入核算股、税源管理一股、税源管理二股、风险管理股、人事教育股、机关党委、纪检组</w:t>
      </w:r>
      <w:r>
        <w:rPr>
          <w:rFonts w:hint="eastAsia"/>
          <w:sz w:val="32"/>
          <w:szCs w:val="32"/>
        </w:rPr>
        <w:t>。</w:t>
      </w:r>
    </w:p>
    <w:p>
      <w:pPr>
        <w:pStyle w:val="23"/>
        <w:snapToGrid w:val="0"/>
        <w:spacing w:line="600" w:lineRule="exact"/>
        <w:ind w:firstLine="643" w:firstLineChars="200"/>
        <w:rPr>
          <w:sz w:val="32"/>
          <w:szCs w:val="32"/>
        </w:rPr>
      </w:pPr>
      <w:r>
        <w:rPr>
          <w:rFonts w:hint="eastAsia"/>
          <w:b/>
          <w:sz w:val="32"/>
          <w:szCs w:val="32"/>
        </w:rPr>
        <w:t>（二）派出机构</w:t>
      </w:r>
      <w:r>
        <w:rPr>
          <w:rFonts w:hint="eastAsia"/>
          <w:sz w:val="32"/>
          <w:szCs w:val="32"/>
        </w:rPr>
        <w:t>：第一税务分局、城区税务所。</w:t>
      </w:r>
    </w:p>
    <w:p>
      <w:pPr>
        <w:pStyle w:val="23"/>
        <w:snapToGrid w:val="0"/>
        <w:spacing w:line="600" w:lineRule="exact"/>
        <w:ind w:firstLine="643" w:firstLineChars="200"/>
        <w:rPr>
          <w:sz w:val="32"/>
          <w:szCs w:val="32"/>
        </w:rPr>
      </w:pPr>
      <w:r>
        <w:rPr>
          <w:rFonts w:hint="eastAsia"/>
          <w:b/>
          <w:sz w:val="32"/>
          <w:szCs w:val="32"/>
        </w:rPr>
        <w:t>（三）事业单位</w:t>
      </w:r>
      <w:r>
        <w:rPr>
          <w:rFonts w:hint="eastAsia"/>
          <w:sz w:val="32"/>
          <w:szCs w:val="32"/>
        </w:rPr>
        <w:t>：信息中心。</w:t>
      </w:r>
    </w:p>
    <w:p>
      <w:pPr>
        <w:adjustRightInd w:val="0"/>
        <w:snapToGrid w:val="0"/>
        <w:spacing w:line="600" w:lineRule="exact"/>
        <w:ind w:firstLine="640" w:firstLineChars="200"/>
        <w:rPr>
          <w:rFonts w:ascii="仿宋_GB2312" w:eastAsia="仿宋_GB2312" w:cs="仿宋_GB2312" w:hAnsiTheme="minorHAnsi"/>
          <w:color w:val="000000"/>
          <w:kern w:val="0"/>
          <w:sz w:val="32"/>
          <w:szCs w:val="32"/>
        </w:rPr>
      </w:pPr>
      <w:r>
        <w:rPr>
          <w:rFonts w:hint="eastAsia" w:ascii="仿宋_GB2312" w:eastAsia="仿宋_GB2312" w:cs="仿宋_GB2312" w:hAnsiTheme="minorHAnsi"/>
          <w:color w:val="000000"/>
          <w:kern w:val="0"/>
          <w:sz w:val="32"/>
          <w:szCs w:val="32"/>
          <w:lang w:eastAsia="zh-CN"/>
        </w:rPr>
        <w:t>阜康市</w:t>
      </w:r>
      <w:r>
        <w:rPr>
          <w:rFonts w:hint="eastAsia" w:ascii="仿宋_GB2312" w:eastAsia="仿宋_GB2312" w:cs="仿宋_GB2312" w:hAnsiTheme="minorHAnsi"/>
          <w:color w:val="000000"/>
          <w:kern w:val="0"/>
          <w:sz w:val="32"/>
          <w:szCs w:val="32"/>
        </w:rPr>
        <w:t>税务局人员编制与实有人数均按合并后规模统计。实有编制数</w:t>
      </w:r>
      <w:r>
        <w:rPr>
          <w:rFonts w:hint="eastAsia" w:ascii="仿宋_GB2312" w:eastAsia="仿宋_GB2312" w:cs="仿宋_GB2312" w:hAnsiTheme="minorHAnsi"/>
          <w:color w:val="000000"/>
          <w:kern w:val="0"/>
          <w:sz w:val="32"/>
          <w:szCs w:val="32"/>
          <w:lang w:val="en-US" w:eastAsia="zh-CN"/>
        </w:rPr>
        <w:t>121</w:t>
      </w:r>
      <w:r>
        <w:rPr>
          <w:rFonts w:hint="eastAsia" w:ascii="仿宋_GB2312" w:eastAsia="仿宋_GB2312" w:cs="仿宋_GB2312" w:hAnsiTheme="minorHAnsi"/>
          <w:color w:val="000000"/>
          <w:kern w:val="0"/>
          <w:sz w:val="32"/>
          <w:szCs w:val="32"/>
        </w:rPr>
        <w:t>，其中：行政</w:t>
      </w:r>
      <w:r>
        <w:rPr>
          <w:rFonts w:hint="eastAsia" w:ascii="仿宋_GB2312" w:eastAsia="仿宋_GB2312" w:cs="仿宋_GB2312" w:hAnsiTheme="minorHAnsi"/>
          <w:color w:val="000000"/>
          <w:kern w:val="0"/>
          <w:sz w:val="32"/>
          <w:szCs w:val="32"/>
          <w:lang w:val="en-US" w:eastAsia="zh-CN"/>
        </w:rPr>
        <w:t>117</w:t>
      </w:r>
      <w:r>
        <w:rPr>
          <w:rFonts w:hint="eastAsia" w:ascii="仿宋_GB2312" w:eastAsia="仿宋_GB2312" w:cs="仿宋_GB2312" w:hAnsiTheme="minorHAnsi"/>
          <w:color w:val="000000"/>
          <w:kern w:val="0"/>
          <w:sz w:val="32"/>
          <w:szCs w:val="32"/>
        </w:rPr>
        <w:t>人，事业</w:t>
      </w:r>
      <w:r>
        <w:rPr>
          <w:rFonts w:hint="eastAsia" w:ascii="仿宋_GB2312" w:eastAsia="仿宋_GB2312" w:cs="仿宋_GB2312" w:hAnsiTheme="minorHAnsi"/>
          <w:color w:val="000000"/>
          <w:kern w:val="0"/>
          <w:sz w:val="32"/>
          <w:szCs w:val="32"/>
          <w:lang w:val="en-US" w:eastAsia="zh-CN"/>
        </w:rPr>
        <w:t>4</w:t>
      </w:r>
      <w:r>
        <w:rPr>
          <w:rFonts w:hint="eastAsia" w:ascii="仿宋_GB2312" w:eastAsia="仿宋_GB2312" w:cs="仿宋_GB2312" w:hAnsiTheme="minorHAnsi"/>
          <w:color w:val="000000"/>
          <w:kern w:val="0"/>
          <w:sz w:val="32"/>
          <w:szCs w:val="32"/>
        </w:rPr>
        <w:t>人。实有人数</w:t>
      </w:r>
      <w:r>
        <w:rPr>
          <w:rFonts w:hint="eastAsia" w:ascii="仿宋_GB2312" w:eastAsia="仿宋_GB2312" w:cs="仿宋_GB2312" w:hAnsiTheme="minorHAnsi"/>
          <w:color w:val="000000"/>
          <w:kern w:val="0"/>
          <w:sz w:val="32"/>
          <w:szCs w:val="32"/>
          <w:lang w:val="en-US" w:eastAsia="zh-CN"/>
        </w:rPr>
        <w:t>173</w:t>
      </w:r>
      <w:r>
        <w:rPr>
          <w:rFonts w:hint="eastAsia" w:ascii="仿宋_GB2312" w:eastAsia="仿宋_GB2312" w:cs="仿宋_GB2312" w:hAnsiTheme="minorHAnsi"/>
          <w:color w:val="000000"/>
          <w:kern w:val="0"/>
          <w:sz w:val="32"/>
          <w:szCs w:val="32"/>
        </w:rPr>
        <w:t>人，其中：在职</w:t>
      </w:r>
      <w:r>
        <w:rPr>
          <w:rFonts w:hint="eastAsia" w:ascii="仿宋_GB2312" w:eastAsia="仿宋_GB2312" w:cs="仿宋_GB2312" w:hAnsiTheme="minorHAnsi"/>
          <w:color w:val="000000"/>
          <w:kern w:val="0"/>
          <w:sz w:val="32"/>
          <w:szCs w:val="32"/>
          <w:lang w:val="en-US" w:eastAsia="zh-CN"/>
        </w:rPr>
        <w:t>113</w:t>
      </w:r>
      <w:r>
        <w:rPr>
          <w:rFonts w:hint="eastAsia" w:ascii="仿宋_GB2312" w:eastAsia="仿宋_GB2312" w:cs="仿宋_GB2312" w:hAnsiTheme="minorHAnsi"/>
          <w:color w:val="000000"/>
          <w:kern w:val="0"/>
          <w:sz w:val="32"/>
          <w:szCs w:val="32"/>
        </w:rPr>
        <w:t>人，退休</w:t>
      </w:r>
      <w:r>
        <w:rPr>
          <w:rFonts w:hint="eastAsia" w:ascii="仿宋_GB2312" w:eastAsia="仿宋_GB2312" w:cs="仿宋_GB2312" w:hAnsiTheme="minorHAnsi"/>
          <w:color w:val="000000"/>
          <w:kern w:val="0"/>
          <w:sz w:val="32"/>
          <w:szCs w:val="32"/>
          <w:lang w:val="en-US" w:eastAsia="zh-CN"/>
        </w:rPr>
        <w:t>60</w:t>
      </w:r>
      <w:r>
        <w:rPr>
          <w:rFonts w:hint="eastAsia" w:ascii="仿宋_GB2312" w:eastAsia="仿宋_GB2312" w:cs="仿宋_GB2312" w:hAnsiTheme="minorHAnsi"/>
          <w:color w:val="000000"/>
          <w:kern w:val="0"/>
          <w:sz w:val="32"/>
          <w:szCs w:val="32"/>
        </w:rPr>
        <w:t>人。实有人数增加</w:t>
      </w:r>
      <w:r>
        <w:rPr>
          <w:rFonts w:hint="eastAsia" w:ascii="仿宋_GB2312" w:eastAsia="仿宋_GB2312" w:cs="仿宋_GB2312" w:hAnsiTheme="minorHAnsi"/>
          <w:color w:val="000000"/>
          <w:kern w:val="0"/>
          <w:sz w:val="32"/>
          <w:szCs w:val="32"/>
          <w:lang w:val="en-US" w:eastAsia="zh-CN"/>
        </w:rPr>
        <w:t>97</w:t>
      </w:r>
      <w:r>
        <w:rPr>
          <w:rFonts w:hint="eastAsia" w:ascii="仿宋_GB2312" w:eastAsia="仿宋_GB2312" w:cs="仿宋_GB2312" w:hAnsiTheme="minorHAnsi"/>
          <w:color w:val="000000"/>
          <w:kern w:val="0"/>
          <w:sz w:val="32"/>
          <w:szCs w:val="32"/>
        </w:rPr>
        <w:t>人，其中在职</w:t>
      </w:r>
      <w:r>
        <w:rPr>
          <w:rFonts w:hint="eastAsia" w:ascii="仿宋_GB2312" w:eastAsia="仿宋_GB2312" w:cs="仿宋_GB2312" w:hAnsiTheme="minorHAnsi"/>
          <w:color w:val="000000"/>
          <w:kern w:val="0"/>
          <w:sz w:val="32"/>
          <w:szCs w:val="32"/>
          <w:lang w:val="en-US" w:eastAsia="zh-CN"/>
        </w:rPr>
        <w:t>56</w:t>
      </w:r>
      <w:r>
        <w:rPr>
          <w:rFonts w:hint="eastAsia" w:ascii="仿宋_GB2312" w:eastAsia="仿宋_GB2312" w:cs="仿宋_GB2312" w:hAnsiTheme="minorHAnsi"/>
          <w:color w:val="000000"/>
          <w:kern w:val="0"/>
          <w:sz w:val="32"/>
          <w:szCs w:val="32"/>
        </w:rPr>
        <w:t>人，离退休</w:t>
      </w:r>
      <w:r>
        <w:rPr>
          <w:rFonts w:hint="eastAsia" w:ascii="仿宋_GB2312" w:eastAsia="仿宋_GB2312" w:cs="仿宋_GB2312" w:hAnsiTheme="minorHAnsi"/>
          <w:color w:val="000000"/>
          <w:kern w:val="0"/>
          <w:sz w:val="32"/>
          <w:szCs w:val="32"/>
          <w:lang w:val="en-US" w:eastAsia="zh-CN"/>
        </w:rPr>
        <w:t>41</w:t>
      </w:r>
      <w:r>
        <w:rPr>
          <w:rFonts w:hint="eastAsia" w:ascii="仿宋_GB2312" w:eastAsia="仿宋_GB2312" w:cs="仿宋_GB2312" w:hAnsiTheme="minorHAnsi"/>
          <w:color w:val="000000"/>
          <w:kern w:val="0"/>
          <w:sz w:val="32"/>
          <w:szCs w:val="32"/>
        </w:rPr>
        <w:t>人。</w:t>
      </w:r>
    </w:p>
    <w:p>
      <w:pPr>
        <w:widowControl/>
        <w:adjustRightInd w:val="0"/>
        <w:snapToGrid w:val="0"/>
        <w:spacing w:line="600" w:lineRule="exact"/>
        <w:jc w:val="center"/>
        <w:outlineLvl w:val="1"/>
        <w:rPr>
          <w:rFonts w:ascii="黑体" w:hAnsi="黑体" w:eastAsia="黑体"/>
          <w:b/>
          <w:kern w:val="0"/>
          <w:sz w:val="32"/>
          <w:szCs w:val="32"/>
        </w:rPr>
      </w:pPr>
      <w:r>
        <w:rPr>
          <w:rFonts w:hint="eastAsia" w:ascii="黑体" w:hAnsi="黑体" w:eastAsia="黑体"/>
          <w:b/>
          <w:kern w:val="0"/>
          <w:sz w:val="32"/>
          <w:szCs w:val="32"/>
        </w:rPr>
        <w:t>第二部分  2019年部门预算公开表</w:t>
      </w:r>
    </w:p>
    <w:p>
      <w:pPr>
        <w:widowControl/>
        <w:adjustRightInd w:val="0"/>
        <w:snapToGrid w:val="0"/>
        <w:spacing w:line="6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一、部门收支总体情况表</w:t>
      </w:r>
    </w:p>
    <w:tbl>
      <w:tblPr>
        <w:tblStyle w:val="12"/>
        <w:tblW w:w="8428" w:type="dxa"/>
        <w:tblInd w:w="94" w:type="dxa"/>
        <w:tblLayout w:type="fixed"/>
        <w:tblCellMar>
          <w:top w:w="0" w:type="dxa"/>
          <w:left w:w="108" w:type="dxa"/>
          <w:bottom w:w="0" w:type="dxa"/>
          <w:right w:w="108" w:type="dxa"/>
        </w:tblCellMar>
      </w:tblPr>
      <w:tblGrid>
        <w:gridCol w:w="1690"/>
        <w:gridCol w:w="919"/>
        <w:gridCol w:w="1957"/>
        <w:gridCol w:w="919"/>
        <w:gridCol w:w="2024"/>
        <w:gridCol w:w="919"/>
      </w:tblGrid>
      <w:tr>
        <w:tblPrEx>
          <w:tblLayout w:type="fixed"/>
          <w:tblCellMar>
            <w:top w:w="0" w:type="dxa"/>
            <w:left w:w="108" w:type="dxa"/>
            <w:bottom w:w="0" w:type="dxa"/>
            <w:right w:w="108" w:type="dxa"/>
          </w:tblCellMar>
        </w:tblPrEx>
        <w:trPr>
          <w:trHeight w:val="300" w:hRule="atLeast"/>
        </w:trPr>
        <w:tc>
          <w:tcPr>
            <w:tcW w:w="1690" w:type="dxa"/>
            <w:tcBorders>
              <w:top w:val="nil"/>
              <w:left w:val="nil"/>
              <w:bottom w:val="nil"/>
              <w:right w:val="nil"/>
            </w:tcBorders>
            <w:shd w:val="clear" w:color="auto" w:fill="auto"/>
            <w:vAlign w:val="bottom"/>
          </w:tcPr>
          <w:p>
            <w:pPr>
              <w:widowControl/>
              <w:adjustRightInd w:val="0"/>
              <w:snapToGrid w:val="0"/>
              <w:spacing w:line="600" w:lineRule="exact"/>
              <w:jc w:val="left"/>
              <w:rPr>
                <w:rFonts w:ascii="宋体" w:hAnsi="宋体" w:cs="宋体"/>
                <w:kern w:val="0"/>
                <w:sz w:val="18"/>
                <w:szCs w:val="18"/>
              </w:rPr>
            </w:pPr>
          </w:p>
        </w:tc>
        <w:tc>
          <w:tcPr>
            <w:tcW w:w="919" w:type="dxa"/>
            <w:tcBorders>
              <w:top w:val="nil"/>
              <w:left w:val="nil"/>
              <w:bottom w:val="nil"/>
              <w:right w:val="nil"/>
            </w:tcBorders>
            <w:shd w:val="clear" w:color="auto" w:fill="auto"/>
            <w:vAlign w:val="bottom"/>
          </w:tcPr>
          <w:p>
            <w:pPr>
              <w:widowControl/>
              <w:adjustRightInd w:val="0"/>
              <w:snapToGrid w:val="0"/>
              <w:spacing w:line="600" w:lineRule="exact"/>
              <w:jc w:val="left"/>
              <w:rPr>
                <w:rFonts w:ascii="宋体" w:hAnsi="宋体" w:cs="宋体"/>
                <w:kern w:val="0"/>
                <w:sz w:val="18"/>
                <w:szCs w:val="18"/>
              </w:rPr>
            </w:pPr>
          </w:p>
        </w:tc>
        <w:tc>
          <w:tcPr>
            <w:tcW w:w="1957" w:type="dxa"/>
            <w:tcBorders>
              <w:top w:val="nil"/>
              <w:left w:val="nil"/>
              <w:bottom w:val="nil"/>
              <w:right w:val="nil"/>
            </w:tcBorders>
            <w:shd w:val="clear" w:color="auto" w:fill="auto"/>
            <w:vAlign w:val="bottom"/>
          </w:tcPr>
          <w:p>
            <w:pPr>
              <w:widowControl/>
              <w:adjustRightInd w:val="0"/>
              <w:snapToGrid w:val="0"/>
              <w:spacing w:line="600" w:lineRule="exact"/>
              <w:jc w:val="left"/>
              <w:rPr>
                <w:rFonts w:ascii="宋体" w:hAnsi="宋体" w:cs="宋体"/>
                <w:kern w:val="0"/>
                <w:sz w:val="18"/>
                <w:szCs w:val="18"/>
              </w:rPr>
            </w:pPr>
          </w:p>
        </w:tc>
        <w:tc>
          <w:tcPr>
            <w:tcW w:w="919" w:type="dxa"/>
            <w:tcBorders>
              <w:top w:val="nil"/>
              <w:left w:val="nil"/>
              <w:bottom w:val="nil"/>
              <w:right w:val="nil"/>
            </w:tcBorders>
            <w:shd w:val="clear" w:color="auto" w:fill="auto"/>
            <w:vAlign w:val="bottom"/>
          </w:tcPr>
          <w:p>
            <w:pPr>
              <w:widowControl/>
              <w:adjustRightInd w:val="0"/>
              <w:snapToGrid w:val="0"/>
              <w:spacing w:line="600" w:lineRule="exact"/>
              <w:jc w:val="left"/>
              <w:rPr>
                <w:rFonts w:ascii="宋体" w:hAnsi="宋体" w:cs="宋体"/>
                <w:kern w:val="0"/>
                <w:sz w:val="18"/>
                <w:szCs w:val="18"/>
              </w:rPr>
            </w:pPr>
          </w:p>
        </w:tc>
        <w:tc>
          <w:tcPr>
            <w:tcW w:w="2024" w:type="dxa"/>
            <w:tcBorders>
              <w:top w:val="nil"/>
              <w:left w:val="nil"/>
              <w:bottom w:val="nil"/>
              <w:right w:val="nil"/>
            </w:tcBorders>
            <w:shd w:val="clear" w:color="auto" w:fill="auto"/>
            <w:vAlign w:val="bottom"/>
          </w:tcPr>
          <w:p>
            <w:pPr>
              <w:widowControl/>
              <w:adjustRightInd w:val="0"/>
              <w:snapToGrid w:val="0"/>
              <w:spacing w:line="600" w:lineRule="exact"/>
              <w:jc w:val="left"/>
              <w:rPr>
                <w:rFonts w:ascii="宋体" w:hAnsi="宋体" w:cs="宋体"/>
                <w:kern w:val="0"/>
                <w:sz w:val="18"/>
                <w:szCs w:val="18"/>
              </w:rPr>
            </w:pPr>
          </w:p>
        </w:tc>
        <w:tc>
          <w:tcPr>
            <w:tcW w:w="919" w:type="dxa"/>
            <w:tcBorders>
              <w:top w:val="nil"/>
              <w:left w:val="nil"/>
              <w:bottom w:val="nil"/>
              <w:right w:val="nil"/>
            </w:tcBorders>
            <w:shd w:val="clear" w:color="auto" w:fill="auto"/>
            <w:vAlign w:val="center"/>
          </w:tcPr>
          <w:p>
            <w:pPr>
              <w:widowControl/>
              <w:adjustRightInd w:val="0"/>
              <w:snapToGrid w:val="0"/>
              <w:spacing w:line="60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270" w:hRule="atLeast"/>
        </w:trPr>
        <w:tc>
          <w:tcPr>
            <w:tcW w:w="2609"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adjustRightInd w:val="0"/>
              <w:snapToGrid w:val="0"/>
              <w:spacing w:line="600" w:lineRule="exact"/>
              <w:jc w:val="center"/>
              <w:rPr>
                <w:rFonts w:ascii="宋体" w:hAnsi="宋体" w:cs="宋体"/>
                <w:b/>
                <w:bCs/>
                <w:kern w:val="0"/>
                <w:sz w:val="18"/>
                <w:szCs w:val="18"/>
              </w:rPr>
            </w:pPr>
            <w:r>
              <w:rPr>
                <w:rFonts w:hint="eastAsia" w:ascii="宋体" w:hAnsi="宋体" w:cs="宋体"/>
                <w:b/>
                <w:bCs/>
                <w:kern w:val="0"/>
                <w:sz w:val="18"/>
                <w:szCs w:val="18"/>
              </w:rPr>
              <w:t>收          入</w:t>
            </w:r>
          </w:p>
        </w:tc>
        <w:tc>
          <w:tcPr>
            <w:tcW w:w="5819" w:type="dxa"/>
            <w:gridSpan w:val="4"/>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b/>
                <w:bCs/>
                <w:kern w:val="0"/>
                <w:sz w:val="18"/>
                <w:szCs w:val="18"/>
              </w:rPr>
            </w:pPr>
            <w:r>
              <w:rPr>
                <w:rFonts w:hint="eastAsia" w:ascii="宋体" w:hAnsi="宋体" w:cs="宋体"/>
                <w:b/>
                <w:bCs/>
                <w:kern w:val="0"/>
                <w:sz w:val="18"/>
                <w:szCs w:val="18"/>
              </w:rPr>
              <w:t>支                出</w:t>
            </w:r>
          </w:p>
        </w:tc>
      </w:tr>
      <w:tr>
        <w:tblPrEx>
          <w:tblLayout w:type="fixed"/>
          <w:tblCellMar>
            <w:top w:w="0" w:type="dxa"/>
            <w:left w:w="108" w:type="dxa"/>
            <w:bottom w:w="0" w:type="dxa"/>
            <w:right w:w="108" w:type="dxa"/>
          </w:tblCellMar>
        </w:tblPrEx>
        <w:trPr>
          <w:trHeight w:val="270" w:hRule="atLeast"/>
        </w:trPr>
        <w:tc>
          <w:tcPr>
            <w:tcW w:w="1690"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项     目</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2019年预算</w:t>
            </w:r>
          </w:p>
        </w:tc>
        <w:tc>
          <w:tcPr>
            <w:tcW w:w="195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功能分类</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2019年预算</w:t>
            </w:r>
          </w:p>
        </w:tc>
        <w:tc>
          <w:tcPr>
            <w:tcW w:w="202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经济分类</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2019年预算</w:t>
            </w:r>
          </w:p>
        </w:tc>
      </w:tr>
      <w:tr>
        <w:tblPrEx>
          <w:tblLayout w:type="fixed"/>
          <w:tblCellMar>
            <w:top w:w="0" w:type="dxa"/>
            <w:left w:w="108" w:type="dxa"/>
            <w:bottom w:w="0" w:type="dxa"/>
            <w:right w:w="108" w:type="dxa"/>
          </w:tblCellMar>
        </w:tblPrEx>
        <w:trPr>
          <w:trHeight w:val="270" w:hRule="atLeast"/>
        </w:trPr>
        <w:tc>
          <w:tcPr>
            <w:tcW w:w="1690"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财政拨款（补助）</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842.08</w:t>
            </w:r>
          </w:p>
        </w:tc>
        <w:tc>
          <w:tcPr>
            <w:tcW w:w="1957"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201 一般公共服务支出</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642.77</w:t>
            </w:r>
          </w:p>
        </w:tc>
        <w:tc>
          <w:tcPr>
            <w:tcW w:w="2024"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301 工资福利支出</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697.42</w:t>
            </w:r>
          </w:p>
        </w:tc>
      </w:tr>
      <w:tr>
        <w:tblPrEx>
          <w:tblLayout w:type="fixed"/>
          <w:tblCellMar>
            <w:top w:w="0" w:type="dxa"/>
            <w:left w:w="108" w:type="dxa"/>
            <w:bottom w:w="0" w:type="dxa"/>
            <w:right w:w="108" w:type="dxa"/>
          </w:tblCellMar>
        </w:tblPrEx>
        <w:trPr>
          <w:trHeight w:val="270" w:hRule="atLeast"/>
        </w:trPr>
        <w:tc>
          <w:tcPr>
            <w:tcW w:w="1690"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一般公共预算</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842.08</w:t>
            </w:r>
          </w:p>
        </w:tc>
        <w:tc>
          <w:tcPr>
            <w:tcW w:w="1957"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202 外交支出</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2024" w:type="dxa"/>
            <w:tcBorders>
              <w:top w:val="nil"/>
              <w:left w:val="nil"/>
              <w:bottom w:val="nil"/>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302 商品和服务支出</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14.68</w:t>
            </w:r>
          </w:p>
        </w:tc>
      </w:tr>
      <w:tr>
        <w:tblPrEx>
          <w:tblLayout w:type="fixed"/>
          <w:tblCellMar>
            <w:top w:w="0" w:type="dxa"/>
            <w:left w:w="108" w:type="dxa"/>
            <w:bottom w:w="0" w:type="dxa"/>
            <w:right w:w="108" w:type="dxa"/>
          </w:tblCellMar>
        </w:tblPrEx>
        <w:trPr>
          <w:trHeight w:val="270" w:hRule="atLeast"/>
        </w:trPr>
        <w:tc>
          <w:tcPr>
            <w:tcW w:w="1690"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政府性基金预算</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957"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203 国防支出</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2024" w:type="dxa"/>
            <w:tcBorders>
              <w:top w:val="single" w:color="auto" w:sz="4" w:space="0"/>
              <w:left w:val="nil"/>
              <w:bottom w:val="nil"/>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303 对个人和家庭的补助支出</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129.98</w:t>
            </w:r>
          </w:p>
        </w:tc>
      </w:tr>
      <w:tr>
        <w:tblPrEx>
          <w:tblLayout w:type="fixed"/>
          <w:tblCellMar>
            <w:top w:w="0" w:type="dxa"/>
            <w:left w:w="108" w:type="dxa"/>
            <w:bottom w:w="0" w:type="dxa"/>
            <w:right w:w="108" w:type="dxa"/>
          </w:tblCellMar>
        </w:tblPrEx>
        <w:trPr>
          <w:trHeight w:val="270" w:hRule="atLeast"/>
        </w:trPr>
        <w:tc>
          <w:tcPr>
            <w:tcW w:w="1690"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教育收费(财政专户)</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957"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204 公共安全支出</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202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307 债务利息及费用支出</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0" w:hRule="atLeast"/>
        </w:trPr>
        <w:tc>
          <w:tcPr>
            <w:tcW w:w="1690"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事业收入</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957"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205 教育支出</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202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309 资本性支出（基本建设）</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0" w:hRule="atLeast"/>
        </w:trPr>
        <w:tc>
          <w:tcPr>
            <w:tcW w:w="1690"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事业单位经营收入</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957"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206 科学技术支出</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202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310 资本性支出</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0" w:hRule="atLeast"/>
        </w:trPr>
        <w:tc>
          <w:tcPr>
            <w:tcW w:w="1690"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其他收入</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957"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207 文化旅游体育与传媒支出</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202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311 对企业补助（基本建设）</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0" w:hRule="atLeast"/>
        </w:trPr>
        <w:tc>
          <w:tcPr>
            <w:tcW w:w="1690"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用事业基金弥补收支差额</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957"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208 社会保障和就业支出</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199.31</w:t>
            </w:r>
          </w:p>
        </w:tc>
        <w:tc>
          <w:tcPr>
            <w:tcW w:w="2024" w:type="dxa"/>
            <w:tcBorders>
              <w:top w:val="nil"/>
              <w:left w:val="nil"/>
              <w:bottom w:val="nil"/>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312 对企业补助</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0" w:hRule="atLeast"/>
        </w:trPr>
        <w:tc>
          <w:tcPr>
            <w:tcW w:w="1690"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957"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209 社会保险基金支出</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202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313 对社会保障基金补助</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0" w:hRule="atLeast"/>
        </w:trPr>
        <w:tc>
          <w:tcPr>
            <w:tcW w:w="1690"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957"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210 卫生健康支出</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202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399 其他支出</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0" w:hRule="atLeast"/>
        </w:trPr>
        <w:tc>
          <w:tcPr>
            <w:tcW w:w="1690"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957"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211 节能环保支出</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2024" w:type="dxa"/>
            <w:tcBorders>
              <w:top w:val="nil"/>
              <w:left w:val="nil"/>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0" w:hRule="atLeast"/>
        </w:trPr>
        <w:tc>
          <w:tcPr>
            <w:tcW w:w="1690"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957"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212 城乡社区支出</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2024" w:type="dxa"/>
            <w:tcBorders>
              <w:top w:val="nil"/>
              <w:left w:val="nil"/>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0" w:hRule="atLeast"/>
        </w:trPr>
        <w:tc>
          <w:tcPr>
            <w:tcW w:w="1690"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957"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213 农林水支出</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2024" w:type="dxa"/>
            <w:tcBorders>
              <w:top w:val="nil"/>
              <w:left w:val="nil"/>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0" w:hRule="atLeast"/>
        </w:trPr>
        <w:tc>
          <w:tcPr>
            <w:tcW w:w="1690"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957"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214 交通运输支出</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2024" w:type="dxa"/>
            <w:tcBorders>
              <w:top w:val="nil"/>
              <w:left w:val="nil"/>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0" w:hRule="atLeast"/>
        </w:trPr>
        <w:tc>
          <w:tcPr>
            <w:tcW w:w="1690"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957"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215 资源勘探信息等支出</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2024" w:type="dxa"/>
            <w:tcBorders>
              <w:top w:val="nil"/>
              <w:left w:val="nil"/>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0" w:hRule="atLeast"/>
        </w:trPr>
        <w:tc>
          <w:tcPr>
            <w:tcW w:w="1690"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957"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216 商业服务业等支出</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2024" w:type="dxa"/>
            <w:tcBorders>
              <w:top w:val="nil"/>
              <w:left w:val="nil"/>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0" w:hRule="atLeast"/>
        </w:trPr>
        <w:tc>
          <w:tcPr>
            <w:tcW w:w="1690"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957"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217 金融支出</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2024" w:type="dxa"/>
            <w:tcBorders>
              <w:top w:val="nil"/>
              <w:left w:val="nil"/>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0" w:hRule="atLeast"/>
        </w:trPr>
        <w:tc>
          <w:tcPr>
            <w:tcW w:w="1690"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957"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219 援助其他地区支出</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2024" w:type="dxa"/>
            <w:tcBorders>
              <w:top w:val="nil"/>
              <w:left w:val="nil"/>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0" w:hRule="atLeast"/>
        </w:trPr>
        <w:tc>
          <w:tcPr>
            <w:tcW w:w="1690"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957"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220 自然资源海洋气象等支出</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2024" w:type="dxa"/>
            <w:tcBorders>
              <w:top w:val="nil"/>
              <w:left w:val="nil"/>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0" w:hRule="atLeast"/>
        </w:trPr>
        <w:tc>
          <w:tcPr>
            <w:tcW w:w="1690"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957"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221 住房保障支出</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2024" w:type="dxa"/>
            <w:tcBorders>
              <w:top w:val="nil"/>
              <w:left w:val="nil"/>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0" w:hRule="atLeast"/>
        </w:trPr>
        <w:tc>
          <w:tcPr>
            <w:tcW w:w="1690"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957"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222 粮油物资储备支出</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2024" w:type="dxa"/>
            <w:tcBorders>
              <w:top w:val="nil"/>
              <w:left w:val="nil"/>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0" w:hRule="atLeast"/>
        </w:trPr>
        <w:tc>
          <w:tcPr>
            <w:tcW w:w="1690"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957"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223 国有资本经营预算支出</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2024" w:type="dxa"/>
            <w:tcBorders>
              <w:top w:val="nil"/>
              <w:left w:val="nil"/>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0" w:hRule="atLeast"/>
        </w:trPr>
        <w:tc>
          <w:tcPr>
            <w:tcW w:w="1690"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957"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224 灾害防治及应急管理支出</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2024" w:type="dxa"/>
            <w:tcBorders>
              <w:top w:val="nil"/>
              <w:left w:val="nil"/>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0" w:hRule="atLeast"/>
        </w:trPr>
        <w:tc>
          <w:tcPr>
            <w:tcW w:w="1690"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957"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227 预备费</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2024" w:type="dxa"/>
            <w:tcBorders>
              <w:top w:val="nil"/>
              <w:left w:val="nil"/>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0" w:hRule="atLeast"/>
        </w:trPr>
        <w:tc>
          <w:tcPr>
            <w:tcW w:w="1690"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957"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229 其他支出</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2024" w:type="dxa"/>
            <w:tcBorders>
              <w:top w:val="nil"/>
              <w:left w:val="nil"/>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0" w:hRule="atLeast"/>
        </w:trPr>
        <w:tc>
          <w:tcPr>
            <w:tcW w:w="1690"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957"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231 债务还本支出</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2024" w:type="dxa"/>
            <w:tcBorders>
              <w:top w:val="nil"/>
              <w:left w:val="nil"/>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0" w:hRule="atLeast"/>
        </w:trPr>
        <w:tc>
          <w:tcPr>
            <w:tcW w:w="1690"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957"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232 债务付息支出</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2024" w:type="dxa"/>
            <w:tcBorders>
              <w:top w:val="nil"/>
              <w:left w:val="nil"/>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0" w:hRule="atLeast"/>
        </w:trPr>
        <w:tc>
          <w:tcPr>
            <w:tcW w:w="1690"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957"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233 债务发行费用支出</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2024" w:type="dxa"/>
            <w:tcBorders>
              <w:top w:val="nil"/>
              <w:left w:val="nil"/>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0" w:hRule="atLeast"/>
        </w:trPr>
        <w:tc>
          <w:tcPr>
            <w:tcW w:w="1690"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957" w:type="dxa"/>
            <w:tcBorders>
              <w:top w:val="nil"/>
              <w:left w:val="nil"/>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2024" w:type="dxa"/>
            <w:tcBorders>
              <w:top w:val="nil"/>
              <w:left w:val="nil"/>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0" w:hRule="atLeast"/>
        </w:trPr>
        <w:tc>
          <w:tcPr>
            <w:tcW w:w="1690"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20"/>
                <w:szCs w:val="20"/>
              </w:rPr>
            </w:pPr>
            <w:r>
              <w:rPr>
                <w:rFonts w:hint="eastAsia" w:ascii="宋体" w:hAnsi="宋体" w:cs="宋体"/>
                <w:kern w:val="0"/>
                <w:sz w:val="20"/>
                <w:szCs w:val="20"/>
              </w:rPr>
              <w:t>小           计</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842.08</w:t>
            </w:r>
          </w:p>
        </w:tc>
        <w:tc>
          <w:tcPr>
            <w:tcW w:w="195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20"/>
                <w:szCs w:val="20"/>
              </w:rPr>
            </w:pPr>
            <w:r>
              <w:rPr>
                <w:rFonts w:hint="eastAsia" w:ascii="宋体" w:hAnsi="宋体" w:cs="宋体"/>
                <w:kern w:val="0"/>
                <w:sz w:val="20"/>
                <w:szCs w:val="20"/>
              </w:rPr>
              <w:t>小           计</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842.08</w:t>
            </w:r>
          </w:p>
        </w:tc>
        <w:tc>
          <w:tcPr>
            <w:tcW w:w="2024"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小          计</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842.08</w:t>
            </w:r>
          </w:p>
        </w:tc>
      </w:tr>
      <w:tr>
        <w:tblPrEx>
          <w:tblLayout w:type="fixed"/>
          <w:tblCellMar>
            <w:top w:w="0" w:type="dxa"/>
            <w:left w:w="108" w:type="dxa"/>
            <w:bottom w:w="0" w:type="dxa"/>
            <w:right w:w="108" w:type="dxa"/>
          </w:tblCellMar>
        </w:tblPrEx>
        <w:trPr>
          <w:trHeight w:val="270" w:hRule="atLeast"/>
        </w:trPr>
        <w:tc>
          <w:tcPr>
            <w:tcW w:w="1690"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20"/>
                <w:szCs w:val="20"/>
              </w:rPr>
            </w:pPr>
            <w:r>
              <w:rPr>
                <w:rFonts w:hint="eastAsia" w:ascii="宋体" w:hAnsi="宋体" w:cs="宋体"/>
                <w:kern w:val="0"/>
                <w:sz w:val="20"/>
                <w:szCs w:val="20"/>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957"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20"/>
                <w:szCs w:val="20"/>
              </w:rPr>
            </w:pPr>
            <w:r>
              <w:rPr>
                <w:rFonts w:hint="eastAsia" w:ascii="宋体" w:hAnsi="宋体" w:cs="宋体"/>
                <w:kern w:val="0"/>
                <w:sz w:val="20"/>
                <w:szCs w:val="20"/>
              </w:rPr>
              <w:t>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2024"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20"/>
                <w:szCs w:val="20"/>
              </w:rPr>
            </w:pPr>
            <w:r>
              <w:rPr>
                <w:rFonts w:hint="eastAsia" w:ascii="宋体" w:hAnsi="宋体" w:cs="宋体"/>
                <w:kern w:val="0"/>
                <w:sz w:val="20"/>
                <w:szCs w:val="20"/>
              </w:rPr>
              <w:t>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765" w:hRule="atLeast"/>
        </w:trPr>
        <w:tc>
          <w:tcPr>
            <w:tcW w:w="1690"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单位上年结余（不包括国库集中支付额度结余）</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957"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230 转移性支出</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2024"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20"/>
                <w:szCs w:val="20"/>
              </w:rPr>
            </w:pPr>
            <w:r>
              <w:rPr>
                <w:rFonts w:hint="eastAsia" w:ascii="宋体" w:hAnsi="宋体" w:cs="宋体"/>
                <w:kern w:val="0"/>
                <w:sz w:val="20"/>
                <w:szCs w:val="20"/>
              </w:rPr>
              <w:t>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0" w:hRule="atLeast"/>
        </w:trPr>
        <w:tc>
          <w:tcPr>
            <w:tcW w:w="1690"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20"/>
                <w:szCs w:val="20"/>
              </w:rPr>
            </w:pPr>
            <w:r>
              <w:rPr>
                <w:rFonts w:hint="eastAsia" w:ascii="宋体" w:hAnsi="宋体" w:cs="宋体"/>
                <w:kern w:val="0"/>
                <w:sz w:val="20"/>
                <w:szCs w:val="20"/>
              </w:rPr>
              <w:t>　</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95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left"/>
              <w:rPr>
                <w:rFonts w:ascii="宋体" w:hAnsi="宋体" w:cs="宋体"/>
                <w:kern w:val="0"/>
                <w:sz w:val="20"/>
                <w:szCs w:val="20"/>
              </w:rPr>
            </w:pPr>
            <w:r>
              <w:rPr>
                <w:rFonts w:hint="eastAsia" w:ascii="宋体" w:hAnsi="宋体" w:cs="宋体"/>
                <w:kern w:val="0"/>
                <w:sz w:val="20"/>
                <w:szCs w:val="20"/>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2024"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600" w:lineRule="exact"/>
              <w:jc w:val="left"/>
              <w:rPr>
                <w:rFonts w:ascii="宋体" w:hAnsi="宋体" w:cs="宋体"/>
                <w:color w:val="0000FF"/>
                <w:kern w:val="0"/>
                <w:sz w:val="20"/>
                <w:szCs w:val="20"/>
              </w:rPr>
            </w:pPr>
            <w:r>
              <w:rPr>
                <w:rFonts w:hint="eastAsia" w:ascii="宋体" w:hAnsi="宋体" w:cs="宋体"/>
                <w:color w:val="0000FF"/>
                <w:kern w:val="0"/>
                <w:sz w:val="20"/>
                <w:szCs w:val="20"/>
              </w:rPr>
              <w:t>　</w:t>
            </w:r>
          </w:p>
        </w:tc>
        <w:tc>
          <w:tcPr>
            <w:tcW w:w="91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0" w:hRule="atLeast"/>
        </w:trPr>
        <w:tc>
          <w:tcPr>
            <w:tcW w:w="1690"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20"/>
                <w:szCs w:val="20"/>
              </w:rPr>
            </w:pPr>
            <w:r>
              <w:rPr>
                <w:rFonts w:hint="eastAsia" w:ascii="宋体" w:hAnsi="宋体" w:cs="宋体"/>
                <w:kern w:val="0"/>
                <w:sz w:val="20"/>
                <w:szCs w:val="20"/>
              </w:rPr>
              <w:t>收  入  总  计</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842.08</w:t>
            </w:r>
          </w:p>
        </w:tc>
        <w:tc>
          <w:tcPr>
            <w:tcW w:w="1957"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20"/>
                <w:szCs w:val="20"/>
              </w:rPr>
            </w:pPr>
            <w:r>
              <w:rPr>
                <w:rFonts w:hint="eastAsia" w:ascii="宋体" w:hAnsi="宋体" w:cs="宋体"/>
                <w:kern w:val="0"/>
                <w:sz w:val="20"/>
                <w:szCs w:val="20"/>
              </w:rPr>
              <w:t>支  出  合  计</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842.08</w:t>
            </w:r>
          </w:p>
        </w:tc>
        <w:tc>
          <w:tcPr>
            <w:tcW w:w="2024"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20"/>
                <w:szCs w:val="20"/>
              </w:rPr>
            </w:pPr>
            <w:r>
              <w:rPr>
                <w:rFonts w:hint="eastAsia" w:ascii="宋体" w:hAnsi="宋体" w:cs="宋体"/>
                <w:kern w:val="0"/>
                <w:sz w:val="20"/>
                <w:szCs w:val="20"/>
              </w:rPr>
              <w:t>支  出  总  计</w:t>
            </w:r>
          </w:p>
        </w:tc>
        <w:tc>
          <w:tcPr>
            <w:tcW w:w="91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842.08</w:t>
            </w:r>
          </w:p>
        </w:tc>
      </w:tr>
    </w:tbl>
    <w:p>
      <w:pPr>
        <w:widowControl/>
        <w:adjustRightInd w:val="0"/>
        <w:snapToGrid w:val="0"/>
        <w:spacing w:line="600" w:lineRule="exact"/>
        <w:outlineLvl w:val="1"/>
        <w:rPr>
          <w:rFonts w:ascii="仿宋_GB2312" w:hAnsi="宋体" w:eastAsia="仿宋_GB2312"/>
          <w:kern w:val="0"/>
          <w:sz w:val="32"/>
          <w:szCs w:val="32"/>
        </w:rPr>
      </w:pPr>
    </w:p>
    <w:p>
      <w:pPr>
        <w:widowControl/>
        <w:adjustRightInd w:val="0"/>
        <w:snapToGrid w:val="0"/>
        <w:spacing w:line="6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二、部门收入总体情况表</w:t>
      </w:r>
    </w:p>
    <w:tbl>
      <w:tblPr>
        <w:tblStyle w:val="12"/>
        <w:tblW w:w="8522" w:type="dxa"/>
        <w:tblInd w:w="0" w:type="dxa"/>
        <w:tblLayout w:type="fixed"/>
        <w:tblCellMar>
          <w:top w:w="0" w:type="dxa"/>
          <w:left w:w="108" w:type="dxa"/>
          <w:bottom w:w="0" w:type="dxa"/>
          <w:right w:w="108" w:type="dxa"/>
        </w:tblCellMar>
      </w:tblPr>
      <w:tblGrid>
        <w:gridCol w:w="563"/>
        <w:gridCol w:w="563"/>
        <w:gridCol w:w="562"/>
        <w:gridCol w:w="1601"/>
        <w:gridCol w:w="1082"/>
        <w:gridCol w:w="1082"/>
        <w:gridCol w:w="389"/>
        <w:gridCol w:w="562"/>
        <w:gridCol w:w="389"/>
        <w:gridCol w:w="389"/>
        <w:gridCol w:w="389"/>
        <w:gridCol w:w="389"/>
        <w:gridCol w:w="562"/>
      </w:tblGrid>
      <w:tr>
        <w:tblPrEx>
          <w:tblLayout w:type="fixed"/>
          <w:tblCellMar>
            <w:top w:w="0" w:type="dxa"/>
            <w:left w:w="108" w:type="dxa"/>
            <w:bottom w:w="0" w:type="dxa"/>
            <w:right w:w="108" w:type="dxa"/>
          </w:tblCellMar>
        </w:tblPrEx>
        <w:trPr>
          <w:trHeight w:val="510" w:hRule="atLeast"/>
        </w:trPr>
        <w:tc>
          <w:tcPr>
            <w:tcW w:w="1688"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功能分类科目编码</w:t>
            </w:r>
          </w:p>
        </w:tc>
        <w:tc>
          <w:tcPr>
            <w:tcW w:w="1601" w:type="dxa"/>
            <w:vMerge w:val="restart"/>
            <w:tcBorders>
              <w:top w:val="single" w:color="auto" w:sz="4" w:space="0"/>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功能分类科目名称</w:t>
            </w:r>
          </w:p>
        </w:tc>
        <w:tc>
          <w:tcPr>
            <w:tcW w:w="1082" w:type="dxa"/>
            <w:vMerge w:val="restart"/>
            <w:tcBorders>
              <w:top w:val="single" w:color="auto" w:sz="4" w:space="0"/>
              <w:left w:val="single" w:color="auto" w:sz="4" w:space="0"/>
              <w:bottom w:val="single" w:color="auto" w:sz="4" w:space="0"/>
              <w:right w:val="single" w:color="000000"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总  计</w:t>
            </w:r>
          </w:p>
        </w:tc>
        <w:tc>
          <w:tcPr>
            <w:tcW w:w="108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一般公共预算</w:t>
            </w:r>
          </w:p>
        </w:tc>
        <w:tc>
          <w:tcPr>
            <w:tcW w:w="38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政府性基金预算</w:t>
            </w:r>
          </w:p>
        </w:tc>
        <w:tc>
          <w:tcPr>
            <w:tcW w:w="562" w:type="dxa"/>
            <w:vMerge w:val="restar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财政专户管理资金（教育收费）</w:t>
            </w:r>
          </w:p>
        </w:tc>
        <w:tc>
          <w:tcPr>
            <w:tcW w:w="38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事业收入</w:t>
            </w:r>
          </w:p>
        </w:tc>
        <w:tc>
          <w:tcPr>
            <w:tcW w:w="3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事业单位经营收入</w:t>
            </w:r>
          </w:p>
        </w:tc>
        <w:tc>
          <w:tcPr>
            <w:tcW w:w="3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其他收入</w:t>
            </w:r>
          </w:p>
        </w:tc>
        <w:tc>
          <w:tcPr>
            <w:tcW w:w="38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用事业基金弥补收支差额</w:t>
            </w:r>
          </w:p>
        </w:tc>
        <w:tc>
          <w:tcPr>
            <w:tcW w:w="562" w:type="dxa"/>
            <w:vMerge w:val="restart"/>
            <w:tcBorders>
              <w:top w:val="single" w:color="auto" w:sz="4" w:space="0"/>
              <w:left w:val="single" w:color="auto" w:sz="4" w:space="0"/>
              <w:bottom w:val="single" w:color="000000" w:sz="4" w:space="0"/>
              <w:right w:val="single" w:color="auto" w:sz="4" w:space="0"/>
            </w:tcBorders>
            <w:shd w:val="clear" w:color="000000" w:fill="FFFFFF"/>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单位上年结余（不包括国库集中支付额度结余）</w:t>
            </w:r>
          </w:p>
        </w:tc>
      </w:tr>
      <w:tr>
        <w:tblPrEx>
          <w:tblLayout w:type="fixed"/>
          <w:tblCellMar>
            <w:top w:w="0" w:type="dxa"/>
            <w:left w:w="108" w:type="dxa"/>
            <w:bottom w:w="0" w:type="dxa"/>
            <w:right w:w="108" w:type="dxa"/>
          </w:tblCellMar>
        </w:tblPrEx>
        <w:trPr>
          <w:trHeight w:val="720" w:hRule="atLeast"/>
        </w:trPr>
        <w:tc>
          <w:tcPr>
            <w:tcW w:w="563" w:type="dxa"/>
            <w:tcBorders>
              <w:top w:val="nil"/>
              <w:left w:val="single" w:color="auto" w:sz="4" w:space="0"/>
              <w:bottom w:val="nil"/>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类</w:t>
            </w:r>
          </w:p>
        </w:tc>
        <w:tc>
          <w:tcPr>
            <w:tcW w:w="563" w:type="dxa"/>
            <w:tcBorders>
              <w:top w:val="nil"/>
              <w:left w:val="nil"/>
              <w:bottom w:val="nil"/>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款</w:t>
            </w:r>
          </w:p>
        </w:tc>
        <w:tc>
          <w:tcPr>
            <w:tcW w:w="562" w:type="dxa"/>
            <w:tcBorders>
              <w:top w:val="nil"/>
              <w:left w:val="nil"/>
              <w:bottom w:val="nil"/>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项</w:t>
            </w:r>
          </w:p>
        </w:tc>
        <w:tc>
          <w:tcPr>
            <w:tcW w:w="1601" w:type="dxa"/>
            <w:vMerge w:val="continue"/>
            <w:tcBorders>
              <w:top w:val="single" w:color="auto" w:sz="4" w:space="0"/>
              <w:left w:val="single" w:color="auto" w:sz="4" w:space="0"/>
              <w:bottom w:val="single" w:color="auto" w:sz="4" w:space="0"/>
              <w:right w:val="nil"/>
            </w:tcBorders>
            <w:vAlign w:val="center"/>
          </w:tcPr>
          <w:p>
            <w:pPr>
              <w:widowControl/>
              <w:adjustRightInd w:val="0"/>
              <w:snapToGrid w:val="0"/>
              <w:spacing w:line="600" w:lineRule="exact"/>
              <w:jc w:val="left"/>
              <w:rPr>
                <w:rFonts w:ascii="宋体" w:hAnsi="宋体" w:cs="宋体"/>
                <w:kern w:val="0"/>
                <w:sz w:val="18"/>
                <w:szCs w:val="18"/>
              </w:rPr>
            </w:pPr>
          </w:p>
        </w:tc>
        <w:tc>
          <w:tcPr>
            <w:tcW w:w="1082" w:type="dxa"/>
            <w:vMerge w:val="continue"/>
            <w:tcBorders>
              <w:top w:val="single" w:color="auto" w:sz="4" w:space="0"/>
              <w:left w:val="single" w:color="auto" w:sz="4" w:space="0"/>
              <w:bottom w:val="single" w:color="auto" w:sz="4" w:space="0"/>
              <w:right w:val="single" w:color="000000" w:sz="4" w:space="0"/>
            </w:tcBorders>
            <w:vAlign w:val="center"/>
          </w:tcPr>
          <w:p>
            <w:pPr>
              <w:widowControl/>
              <w:adjustRightInd w:val="0"/>
              <w:snapToGrid w:val="0"/>
              <w:spacing w:line="600" w:lineRule="exact"/>
              <w:jc w:val="left"/>
              <w:rPr>
                <w:rFonts w:ascii="宋体" w:hAnsi="宋体" w:cs="宋体"/>
                <w:kern w:val="0"/>
                <w:sz w:val="18"/>
                <w:szCs w:val="18"/>
              </w:rPr>
            </w:pPr>
          </w:p>
        </w:tc>
        <w:tc>
          <w:tcPr>
            <w:tcW w:w="1082"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389"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562" w:type="dxa"/>
            <w:vMerge w:val="continue"/>
            <w:tcBorders>
              <w:top w:val="single" w:color="auto" w:sz="4" w:space="0"/>
              <w:left w:val="nil"/>
              <w:bottom w:val="single" w:color="auto"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389"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38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38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38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562"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60" w:hRule="atLeast"/>
        </w:trPr>
        <w:tc>
          <w:tcPr>
            <w:tcW w:w="563" w:type="dxa"/>
            <w:tcBorders>
              <w:top w:val="single" w:color="auto" w:sz="4" w:space="0"/>
              <w:left w:val="single" w:color="000000" w:sz="4" w:space="0"/>
              <w:bottom w:val="single" w:color="000000" w:sz="4" w:space="0"/>
              <w:right w:val="single" w:color="000000" w:sz="4" w:space="0"/>
            </w:tcBorders>
            <w:shd w:val="clear" w:color="000000" w:fill="FFFFFF"/>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w:t>
            </w:r>
          </w:p>
        </w:tc>
        <w:tc>
          <w:tcPr>
            <w:tcW w:w="563" w:type="dxa"/>
            <w:tcBorders>
              <w:top w:val="single" w:color="auto" w:sz="4" w:space="0"/>
              <w:left w:val="nil"/>
              <w:bottom w:val="single" w:color="000000" w:sz="4" w:space="0"/>
              <w:right w:val="single" w:color="000000" w:sz="4" w:space="0"/>
            </w:tcBorders>
            <w:shd w:val="clear" w:color="000000" w:fill="FFFFFF"/>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w:t>
            </w:r>
          </w:p>
        </w:tc>
        <w:tc>
          <w:tcPr>
            <w:tcW w:w="562" w:type="dxa"/>
            <w:tcBorders>
              <w:top w:val="single" w:color="auto" w:sz="4" w:space="0"/>
              <w:left w:val="nil"/>
              <w:bottom w:val="single" w:color="000000" w:sz="4" w:space="0"/>
              <w:right w:val="single" w:color="000000" w:sz="4" w:space="0"/>
            </w:tcBorders>
            <w:shd w:val="clear" w:color="000000" w:fill="FFFFFF"/>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w:t>
            </w:r>
          </w:p>
        </w:tc>
        <w:tc>
          <w:tcPr>
            <w:tcW w:w="1601" w:type="dxa"/>
            <w:tcBorders>
              <w:top w:val="nil"/>
              <w:left w:val="nil"/>
              <w:bottom w:val="single" w:color="000000" w:sz="4" w:space="0"/>
              <w:right w:val="single" w:color="000000" w:sz="4" w:space="0"/>
            </w:tcBorders>
            <w:shd w:val="clear" w:color="000000" w:fill="FFFFFF"/>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w:t>
            </w:r>
          </w:p>
        </w:tc>
        <w:tc>
          <w:tcPr>
            <w:tcW w:w="1082" w:type="dxa"/>
            <w:tcBorders>
              <w:top w:val="nil"/>
              <w:left w:val="nil"/>
              <w:bottom w:val="single" w:color="000000" w:sz="4" w:space="0"/>
              <w:right w:val="single" w:color="000000" w:sz="4" w:space="0"/>
            </w:tcBorders>
            <w:shd w:val="clear" w:color="000000" w:fill="FFFFFF"/>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1</w:t>
            </w:r>
          </w:p>
        </w:tc>
        <w:tc>
          <w:tcPr>
            <w:tcW w:w="1082" w:type="dxa"/>
            <w:tcBorders>
              <w:top w:val="nil"/>
              <w:left w:val="nil"/>
              <w:bottom w:val="single" w:color="000000" w:sz="4" w:space="0"/>
              <w:right w:val="single" w:color="000000" w:sz="4" w:space="0"/>
            </w:tcBorders>
            <w:shd w:val="clear" w:color="000000" w:fill="FFFFFF"/>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2</w:t>
            </w:r>
          </w:p>
        </w:tc>
        <w:tc>
          <w:tcPr>
            <w:tcW w:w="389" w:type="dxa"/>
            <w:tcBorders>
              <w:top w:val="nil"/>
              <w:left w:val="nil"/>
              <w:bottom w:val="single" w:color="000000" w:sz="4" w:space="0"/>
              <w:right w:val="single" w:color="000000" w:sz="4" w:space="0"/>
            </w:tcBorders>
            <w:shd w:val="clear" w:color="000000" w:fill="FFFFFF"/>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3</w:t>
            </w:r>
          </w:p>
        </w:tc>
        <w:tc>
          <w:tcPr>
            <w:tcW w:w="562" w:type="dxa"/>
            <w:tcBorders>
              <w:top w:val="nil"/>
              <w:left w:val="nil"/>
              <w:bottom w:val="single" w:color="000000" w:sz="4" w:space="0"/>
              <w:right w:val="single" w:color="000000" w:sz="4" w:space="0"/>
            </w:tcBorders>
            <w:shd w:val="clear" w:color="000000" w:fill="FFFFFF"/>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4</w:t>
            </w:r>
          </w:p>
        </w:tc>
        <w:tc>
          <w:tcPr>
            <w:tcW w:w="389" w:type="dxa"/>
            <w:tcBorders>
              <w:top w:val="nil"/>
              <w:left w:val="nil"/>
              <w:bottom w:val="single" w:color="000000" w:sz="4" w:space="0"/>
              <w:right w:val="single" w:color="000000" w:sz="4" w:space="0"/>
            </w:tcBorders>
            <w:shd w:val="clear" w:color="000000" w:fill="FFFFFF"/>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5</w:t>
            </w:r>
          </w:p>
        </w:tc>
        <w:tc>
          <w:tcPr>
            <w:tcW w:w="389" w:type="dxa"/>
            <w:tcBorders>
              <w:top w:val="nil"/>
              <w:left w:val="nil"/>
              <w:bottom w:val="single" w:color="000000" w:sz="4" w:space="0"/>
              <w:right w:val="single" w:color="000000" w:sz="4" w:space="0"/>
            </w:tcBorders>
            <w:shd w:val="clear" w:color="000000" w:fill="FFFFFF"/>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6</w:t>
            </w:r>
          </w:p>
        </w:tc>
        <w:tc>
          <w:tcPr>
            <w:tcW w:w="389" w:type="dxa"/>
            <w:tcBorders>
              <w:top w:val="nil"/>
              <w:left w:val="nil"/>
              <w:bottom w:val="single" w:color="000000" w:sz="4" w:space="0"/>
              <w:right w:val="single" w:color="000000" w:sz="4" w:space="0"/>
            </w:tcBorders>
            <w:shd w:val="clear" w:color="000000" w:fill="FFFFFF"/>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7</w:t>
            </w:r>
          </w:p>
        </w:tc>
        <w:tc>
          <w:tcPr>
            <w:tcW w:w="389" w:type="dxa"/>
            <w:tcBorders>
              <w:top w:val="nil"/>
              <w:left w:val="nil"/>
              <w:bottom w:val="single" w:color="000000" w:sz="4" w:space="0"/>
              <w:right w:val="single" w:color="000000" w:sz="4" w:space="0"/>
            </w:tcBorders>
            <w:shd w:val="clear" w:color="000000" w:fill="FFFFFF"/>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8</w:t>
            </w:r>
          </w:p>
        </w:tc>
        <w:tc>
          <w:tcPr>
            <w:tcW w:w="562" w:type="dxa"/>
            <w:tcBorders>
              <w:top w:val="nil"/>
              <w:left w:val="nil"/>
              <w:bottom w:val="single" w:color="000000" w:sz="4" w:space="0"/>
              <w:right w:val="single" w:color="000000" w:sz="4" w:space="0"/>
            </w:tcBorders>
            <w:shd w:val="clear" w:color="000000" w:fill="FFFFFF"/>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9</w:t>
            </w:r>
          </w:p>
        </w:tc>
      </w:tr>
      <w:tr>
        <w:tblPrEx>
          <w:tblLayout w:type="fixed"/>
          <w:tblCellMar>
            <w:top w:w="0" w:type="dxa"/>
            <w:left w:w="108" w:type="dxa"/>
            <w:bottom w:w="0" w:type="dxa"/>
            <w:right w:w="108" w:type="dxa"/>
          </w:tblCellMar>
        </w:tblPrEx>
        <w:trPr>
          <w:trHeight w:val="405" w:hRule="atLeast"/>
        </w:trPr>
        <w:tc>
          <w:tcPr>
            <w:tcW w:w="563" w:type="dxa"/>
            <w:tcBorders>
              <w:top w:val="nil"/>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563"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56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601"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合计</w:t>
            </w:r>
          </w:p>
        </w:tc>
        <w:tc>
          <w:tcPr>
            <w:tcW w:w="108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xml:space="preserve">842.08 </w:t>
            </w:r>
          </w:p>
        </w:tc>
        <w:tc>
          <w:tcPr>
            <w:tcW w:w="108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xml:space="preserve">842.08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56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56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5" w:hRule="atLeast"/>
        </w:trPr>
        <w:tc>
          <w:tcPr>
            <w:tcW w:w="563" w:type="dxa"/>
            <w:tcBorders>
              <w:top w:val="nil"/>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563"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56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601"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lang w:eastAsia="zh-CN"/>
              </w:rPr>
              <w:t>阜康市</w:t>
            </w:r>
            <w:r>
              <w:rPr>
                <w:rFonts w:hint="eastAsia" w:ascii="宋体" w:hAnsi="宋体" w:cs="宋体"/>
                <w:kern w:val="0"/>
                <w:sz w:val="18"/>
                <w:szCs w:val="18"/>
              </w:rPr>
              <w:t>税务局</w:t>
            </w:r>
          </w:p>
        </w:tc>
        <w:tc>
          <w:tcPr>
            <w:tcW w:w="108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xml:space="preserve">842.08 </w:t>
            </w:r>
          </w:p>
        </w:tc>
        <w:tc>
          <w:tcPr>
            <w:tcW w:w="108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xml:space="preserve">842.08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56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56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5" w:hRule="atLeast"/>
        </w:trPr>
        <w:tc>
          <w:tcPr>
            <w:tcW w:w="563" w:type="dxa"/>
            <w:tcBorders>
              <w:top w:val="nil"/>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201</w:t>
            </w:r>
          </w:p>
        </w:tc>
        <w:tc>
          <w:tcPr>
            <w:tcW w:w="563"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56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601"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一般公共服务支出</w:t>
            </w:r>
          </w:p>
        </w:tc>
        <w:tc>
          <w:tcPr>
            <w:tcW w:w="108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xml:space="preserve">642.77 </w:t>
            </w:r>
          </w:p>
        </w:tc>
        <w:tc>
          <w:tcPr>
            <w:tcW w:w="108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xml:space="preserve">642.77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56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56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5" w:hRule="atLeast"/>
        </w:trPr>
        <w:tc>
          <w:tcPr>
            <w:tcW w:w="563" w:type="dxa"/>
            <w:tcBorders>
              <w:top w:val="nil"/>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563"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07</w:t>
            </w:r>
          </w:p>
        </w:tc>
        <w:tc>
          <w:tcPr>
            <w:tcW w:w="56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601"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税收事务</w:t>
            </w:r>
          </w:p>
        </w:tc>
        <w:tc>
          <w:tcPr>
            <w:tcW w:w="108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xml:space="preserve">642.77 </w:t>
            </w:r>
          </w:p>
        </w:tc>
        <w:tc>
          <w:tcPr>
            <w:tcW w:w="108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xml:space="preserve">642.77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56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56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5" w:hRule="atLeast"/>
        </w:trPr>
        <w:tc>
          <w:tcPr>
            <w:tcW w:w="563" w:type="dxa"/>
            <w:tcBorders>
              <w:top w:val="nil"/>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201</w:t>
            </w:r>
          </w:p>
        </w:tc>
        <w:tc>
          <w:tcPr>
            <w:tcW w:w="563"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07</w:t>
            </w:r>
          </w:p>
        </w:tc>
        <w:tc>
          <w:tcPr>
            <w:tcW w:w="56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01</w:t>
            </w:r>
          </w:p>
        </w:tc>
        <w:tc>
          <w:tcPr>
            <w:tcW w:w="1601"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行政运行</w:t>
            </w:r>
          </w:p>
        </w:tc>
        <w:tc>
          <w:tcPr>
            <w:tcW w:w="108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xml:space="preserve">642.77 </w:t>
            </w:r>
          </w:p>
        </w:tc>
        <w:tc>
          <w:tcPr>
            <w:tcW w:w="108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xml:space="preserve">642.77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56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56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5" w:hRule="atLeast"/>
        </w:trPr>
        <w:tc>
          <w:tcPr>
            <w:tcW w:w="563" w:type="dxa"/>
            <w:tcBorders>
              <w:top w:val="nil"/>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208</w:t>
            </w:r>
          </w:p>
        </w:tc>
        <w:tc>
          <w:tcPr>
            <w:tcW w:w="563"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56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601"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社会保障和就业支出</w:t>
            </w:r>
          </w:p>
        </w:tc>
        <w:tc>
          <w:tcPr>
            <w:tcW w:w="108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xml:space="preserve">199.31 </w:t>
            </w:r>
          </w:p>
        </w:tc>
        <w:tc>
          <w:tcPr>
            <w:tcW w:w="108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xml:space="preserve">199.31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56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56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5" w:hRule="atLeast"/>
        </w:trPr>
        <w:tc>
          <w:tcPr>
            <w:tcW w:w="563" w:type="dxa"/>
            <w:tcBorders>
              <w:top w:val="nil"/>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563"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05</w:t>
            </w:r>
          </w:p>
        </w:tc>
        <w:tc>
          <w:tcPr>
            <w:tcW w:w="56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601"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行政事业单位离退休</w:t>
            </w:r>
          </w:p>
        </w:tc>
        <w:tc>
          <w:tcPr>
            <w:tcW w:w="108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xml:space="preserve">199.31 </w:t>
            </w:r>
          </w:p>
        </w:tc>
        <w:tc>
          <w:tcPr>
            <w:tcW w:w="108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xml:space="preserve">199.31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56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56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5" w:hRule="atLeast"/>
        </w:trPr>
        <w:tc>
          <w:tcPr>
            <w:tcW w:w="563" w:type="dxa"/>
            <w:tcBorders>
              <w:top w:val="nil"/>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208</w:t>
            </w:r>
          </w:p>
        </w:tc>
        <w:tc>
          <w:tcPr>
            <w:tcW w:w="563"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05</w:t>
            </w:r>
          </w:p>
        </w:tc>
        <w:tc>
          <w:tcPr>
            <w:tcW w:w="56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04</w:t>
            </w:r>
          </w:p>
        </w:tc>
        <w:tc>
          <w:tcPr>
            <w:tcW w:w="1601"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未归口管理的行政单位离退休</w:t>
            </w:r>
          </w:p>
        </w:tc>
        <w:tc>
          <w:tcPr>
            <w:tcW w:w="108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xml:space="preserve">129.98 </w:t>
            </w:r>
          </w:p>
        </w:tc>
        <w:tc>
          <w:tcPr>
            <w:tcW w:w="108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xml:space="preserve">129.98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56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56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5" w:hRule="atLeast"/>
        </w:trPr>
        <w:tc>
          <w:tcPr>
            <w:tcW w:w="563" w:type="dxa"/>
            <w:tcBorders>
              <w:top w:val="nil"/>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208</w:t>
            </w:r>
          </w:p>
        </w:tc>
        <w:tc>
          <w:tcPr>
            <w:tcW w:w="563"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05</w:t>
            </w:r>
          </w:p>
        </w:tc>
        <w:tc>
          <w:tcPr>
            <w:tcW w:w="56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05</w:t>
            </w:r>
          </w:p>
        </w:tc>
        <w:tc>
          <w:tcPr>
            <w:tcW w:w="1601"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机关事业单位基本养老保险缴费支出</w:t>
            </w:r>
          </w:p>
        </w:tc>
        <w:tc>
          <w:tcPr>
            <w:tcW w:w="108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xml:space="preserve">69.33 </w:t>
            </w:r>
          </w:p>
        </w:tc>
        <w:tc>
          <w:tcPr>
            <w:tcW w:w="108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xml:space="preserve">69.33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56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89"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562" w:type="dxa"/>
            <w:tcBorders>
              <w:top w:val="nil"/>
              <w:left w:val="nil"/>
              <w:bottom w:val="single" w:color="000000" w:sz="4" w:space="0"/>
              <w:right w:val="single" w:color="000000"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bl>
    <w:p>
      <w:pPr>
        <w:widowControl/>
        <w:adjustRightInd w:val="0"/>
        <w:snapToGrid w:val="0"/>
        <w:spacing w:line="6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三、部门支出总体情况表</w:t>
      </w:r>
    </w:p>
    <w:tbl>
      <w:tblPr>
        <w:tblStyle w:val="12"/>
        <w:tblW w:w="8522" w:type="dxa"/>
        <w:tblInd w:w="0" w:type="dxa"/>
        <w:tblLayout w:type="fixed"/>
        <w:tblCellMar>
          <w:top w:w="0" w:type="dxa"/>
          <w:left w:w="108" w:type="dxa"/>
          <w:bottom w:w="0" w:type="dxa"/>
          <w:right w:w="108" w:type="dxa"/>
        </w:tblCellMar>
      </w:tblPr>
      <w:tblGrid>
        <w:gridCol w:w="576"/>
        <w:gridCol w:w="576"/>
        <w:gridCol w:w="576"/>
        <w:gridCol w:w="2087"/>
        <w:gridCol w:w="1645"/>
        <w:gridCol w:w="1531"/>
        <w:gridCol w:w="1531"/>
      </w:tblGrid>
      <w:tr>
        <w:tblPrEx>
          <w:tblLayout w:type="fixed"/>
          <w:tblCellMar>
            <w:top w:w="0" w:type="dxa"/>
            <w:left w:w="108" w:type="dxa"/>
            <w:bottom w:w="0" w:type="dxa"/>
            <w:right w:w="108" w:type="dxa"/>
          </w:tblCellMar>
        </w:tblPrEx>
        <w:trPr>
          <w:trHeight w:val="360" w:hRule="atLeast"/>
        </w:trPr>
        <w:tc>
          <w:tcPr>
            <w:tcW w:w="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项目</w:t>
            </w:r>
          </w:p>
        </w:tc>
        <w:tc>
          <w:tcPr>
            <w:tcW w:w="57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57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208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64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支出预算</w:t>
            </w:r>
          </w:p>
        </w:tc>
        <w:tc>
          <w:tcPr>
            <w:tcW w:w="153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53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42" w:hRule="atLeast"/>
        </w:trPr>
        <w:tc>
          <w:tcPr>
            <w:tcW w:w="172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功能分类科目编码</w:t>
            </w:r>
          </w:p>
        </w:tc>
        <w:tc>
          <w:tcPr>
            <w:tcW w:w="2087" w:type="dxa"/>
            <w:vMerge w:val="restart"/>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功能分类科目名称</w:t>
            </w:r>
          </w:p>
        </w:tc>
        <w:tc>
          <w:tcPr>
            <w:tcW w:w="1645" w:type="dxa"/>
            <w:vMerge w:val="restart"/>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总      计</w:t>
            </w:r>
          </w:p>
        </w:tc>
        <w:tc>
          <w:tcPr>
            <w:tcW w:w="1531"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基本支出</w:t>
            </w:r>
          </w:p>
        </w:tc>
        <w:tc>
          <w:tcPr>
            <w:tcW w:w="1531"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项目支出</w:t>
            </w:r>
          </w:p>
        </w:tc>
      </w:tr>
      <w:tr>
        <w:tblPrEx>
          <w:tblLayout w:type="fixed"/>
          <w:tblCellMar>
            <w:top w:w="0" w:type="dxa"/>
            <w:left w:w="108" w:type="dxa"/>
            <w:bottom w:w="0" w:type="dxa"/>
            <w:right w:w="108" w:type="dxa"/>
          </w:tblCellMar>
        </w:tblPrEx>
        <w:trPr>
          <w:trHeight w:val="600" w:hRule="atLeast"/>
        </w:trPr>
        <w:tc>
          <w:tcPr>
            <w:tcW w:w="576"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类</w:t>
            </w:r>
          </w:p>
        </w:tc>
        <w:tc>
          <w:tcPr>
            <w:tcW w:w="576"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款</w:t>
            </w:r>
          </w:p>
        </w:tc>
        <w:tc>
          <w:tcPr>
            <w:tcW w:w="576"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项</w:t>
            </w:r>
          </w:p>
        </w:tc>
        <w:tc>
          <w:tcPr>
            <w:tcW w:w="2087" w:type="dxa"/>
            <w:vMerge w:val="continue"/>
            <w:tcBorders>
              <w:top w:val="nil"/>
              <w:left w:val="nil"/>
              <w:bottom w:val="single" w:color="auto"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1645" w:type="dxa"/>
            <w:vMerge w:val="continue"/>
            <w:tcBorders>
              <w:top w:val="nil"/>
              <w:left w:val="single" w:color="auto" w:sz="4" w:space="0"/>
              <w:bottom w:val="single" w:color="auto" w:sz="4" w:space="0"/>
              <w:right w:val="nil"/>
            </w:tcBorders>
            <w:vAlign w:val="center"/>
          </w:tcPr>
          <w:p>
            <w:pPr>
              <w:widowControl/>
              <w:adjustRightInd w:val="0"/>
              <w:snapToGrid w:val="0"/>
              <w:spacing w:line="600" w:lineRule="exact"/>
              <w:jc w:val="left"/>
              <w:rPr>
                <w:rFonts w:ascii="宋体" w:hAnsi="宋体" w:cs="宋体"/>
                <w:kern w:val="0"/>
                <w:sz w:val="18"/>
                <w:szCs w:val="18"/>
              </w:rPr>
            </w:pPr>
          </w:p>
        </w:tc>
        <w:tc>
          <w:tcPr>
            <w:tcW w:w="1531"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1531"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600" w:hRule="atLeast"/>
        </w:trPr>
        <w:tc>
          <w:tcPr>
            <w:tcW w:w="57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576"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57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2087" w:type="dxa"/>
            <w:vMerge w:val="continue"/>
            <w:tcBorders>
              <w:top w:val="nil"/>
              <w:left w:val="nil"/>
              <w:bottom w:val="single" w:color="auto"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1645" w:type="dxa"/>
            <w:vMerge w:val="continue"/>
            <w:tcBorders>
              <w:top w:val="nil"/>
              <w:left w:val="single" w:color="auto" w:sz="4" w:space="0"/>
              <w:bottom w:val="single" w:color="auto" w:sz="4" w:space="0"/>
              <w:right w:val="nil"/>
            </w:tcBorders>
            <w:vAlign w:val="center"/>
          </w:tcPr>
          <w:p>
            <w:pPr>
              <w:widowControl/>
              <w:adjustRightInd w:val="0"/>
              <w:snapToGrid w:val="0"/>
              <w:spacing w:line="600" w:lineRule="exact"/>
              <w:jc w:val="left"/>
              <w:rPr>
                <w:rFonts w:ascii="宋体" w:hAnsi="宋体" w:cs="宋体"/>
                <w:kern w:val="0"/>
                <w:sz w:val="18"/>
                <w:szCs w:val="18"/>
              </w:rPr>
            </w:pPr>
          </w:p>
        </w:tc>
        <w:tc>
          <w:tcPr>
            <w:tcW w:w="1531"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1531"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94"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w:t>
            </w:r>
          </w:p>
        </w:tc>
        <w:tc>
          <w:tcPr>
            <w:tcW w:w="576" w:type="dxa"/>
            <w:tcBorders>
              <w:top w:val="nil"/>
              <w:left w:val="nil"/>
              <w:bottom w:val="nil"/>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w:t>
            </w:r>
          </w:p>
        </w:tc>
        <w:tc>
          <w:tcPr>
            <w:tcW w:w="576" w:type="dxa"/>
            <w:tcBorders>
              <w:top w:val="single" w:color="auto" w:sz="4" w:space="0"/>
              <w:left w:val="nil"/>
              <w:bottom w:val="nil"/>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w:t>
            </w:r>
          </w:p>
        </w:tc>
        <w:tc>
          <w:tcPr>
            <w:tcW w:w="2087" w:type="dxa"/>
            <w:tcBorders>
              <w:top w:val="nil"/>
              <w:left w:val="nil"/>
              <w:bottom w:val="nil"/>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w:t>
            </w:r>
          </w:p>
        </w:tc>
        <w:tc>
          <w:tcPr>
            <w:tcW w:w="1645" w:type="dxa"/>
            <w:tcBorders>
              <w:top w:val="nil"/>
              <w:left w:val="nil"/>
              <w:bottom w:val="nil"/>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1</w:t>
            </w:r>
          </w:p>
        </w:tc>
        <w:tc>
          <w:tcPr>
            <w:tcW w:w="1531" w:type="dxa"/>
            <w:tcBorders>
              <w:top w:val="nil"/>
              <w:left w:val="nil"/>
              <w:bottom w:val="nil"/>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2</w:t>
            </w:r>
          </w:p>
        </w:tc>
        <w:tc>
          <w:tcPr>
            <w:tcW w:w="1531" w:type="dxa"/>
            <w:tcBorders>
              <w:top w:val="nil"/>
              <w:left w:val="nil"/>
              <w:bottom w:val="nil"/>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3</w:t>
            </w:r>
          </w:p>
        </w:tc>
      </w:tr>
      <w:tr>
        <w:tblPrEx>
          <w:tblLayout w:type="fixed"/>
          <w:tblCellMar>
            <w:top w:w="0" w:type="dxa"/>
            <w:left w:w="108" w:type="dxa"/>
            <w:bottom w:w="0" w:type="dxa"/>
            <w:right w:w="108" w:type="dxa"/>
          </w:tblCellMar>
        </w:tblPrEx>
        <w:trPr>
          <w:trHeight w:val="360"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576" w:type="dxa"/>
            <w:tcBorders>
              <w:top w:val="single" w:color="auto" w:sz="4" w:space="0"/>
              <w:left w:val="nil"/>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576" w:type="dxa"/>
            <w:tcBorders>
              <w:top w:val="single" w:color="auto" w:sz="4" w:space="0"/>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2087" w:type="dxa"/>
            <w:tcBorders>
              <w:top w:val="single" w:color="auto" w:sz="4" w:space="0"/>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合计</w:t>
            </w: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842.08</w:t>
            </w:r>
          </w:p>
        </w:tc>
        <w:tc>
          <w:tcPr>
            <w:tcW w:w="1531" w:type="dxa"/>
            <w:tcBorders>
              <w:top w:val="single" w:color="auto" w:sz="4" w:space="0"/>
              <w:left w:val="nil"/>
              <w:bottom w:val="single" w:color="auto" w:sz="4" w:space="0"/>
              <w:right w:val="nil"/>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842.08</w:t>
            </w:r>
          </w:p>
        </w:tc>
        <w:tc>
          <w:tcPr>
            <w:tcW w:w="1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2087"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lang w:eastAsia="zh-CN"/>
              </w:rPr>
              <w:t>阜康市</w:t>
            </w:r>
            <w:r>
              <w:rPr>
                <w:rFonts w:hint="eastAsia" w:ascii="宋体" w:hAnsi="宋体" w:cs="宋体"/>
                <w:kern w:val="0"/>
                <w:sz w:val="18"/>
                <w:szCs w:val="18"/>
              </w:rPr>
              <w:t>税务局</w:t>
            </w:r>
          </w:p>
        </w:tc>
        <w:tc>
          <w:tcPr>
            <w:tcW w:w="164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842.08</w:t>
            </w:r>
          </w:p>
        </w:tc>
        <w:tc>
          <w:tcPr>
            <w:tcW w:w="1531"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842.08</w:t>
            </w:r>
          </w:p>
        </w:tc>
        <w:tc>
          <w:tcPr>
            <w:tcW w:w="153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201</w:t>
            </w:r>
          </w:p>
        </w:tc>
        <w:tc>
          <w:tcPr>
            <w:tcW w:w="576"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2087"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一般公共服务支出</w:t>
            </w:r>
          </w:p>
        </w:tc>
        <w:tc>
          <w:tcPr>
            <w:tcW w:w="164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642.77</w:t>
            </w:r>
          </w:p>
        </w:tc>
        <w:tc>
          <w:tcPr>
            <w:tcW w:w="1531"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642.77</w:t>
            </w:r>
          </w:p>
        </w:tc>
        <w:tc>
          <w:tcPr>
            <w:tcW w:w="153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07</w:t>
            </w:r>
          </w:p>
        </w:tc>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2087"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税收事务</w:t>
            </w:r>
          </w:p>
        </w:tc>
        <w:tc>
          <w:tcPr>
            <w:tcW w:w="164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642.77</w:t>
            </w:r>
          </w:p>
        </w:tc>
        <w:tc>
          <w:tcPr>
            <w:tcW w:w="1531"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642.77</w:t>
            </w:r>
          </w:p>
        </w:tc>
        <w:tc>
          <w:tcPr>
            <w:tcW w:w="153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xml:space="preserve">  201</w:t>
            </w:r>
          </w:p>
        </w:tc>
        <w:tc>
          <w:tcPr>
            <w:tcW w:w="576"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xml:space="preserve">  07</w:t>
            </w:r>
          </w:p>
        </w:tc>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01</w:t>
            </w:r>
          </w:p>
        </w:tc>
        <w:tc>
          <w:tcPr>
            <w:tcW w:w="2087"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行政运行</w:t>
            </w:r>
          </w:p>
        </w:tc>
        <w:tc>
          <w:tcPr>
            <w:tcW w:w="164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642.77</w:t>
            </w:r>
          </w:p>
        </w:tc>
        <w:tc>
          <w:tcPr>
            <w:tcW w:w="1531"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642.77</w:t>
            </w:r>
          </w:p>
        </w:tc>
        <w:tc>
          <w:tcPr>
            <w:tcW w:w="153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208</w:t>
            </w:r>
          </w:p>
        </w:tc>
        <w:tc>
          <w:tcPr>
            <w:tcW w:w="576"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2087"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社会保障和就业支出</w:t>
            </w:r>
          </w:p>
        </w:tc>
        <w:tc>
          <w:tcPr>
            <w:tcW w:w="164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199.31</w:t>
            </w:r>
          </w:p>
        </w:tc>
        <w:tc>
          <w:tcPr>
            <w:tcW w:w="1531"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199.31</w:t>
            </w:r>
          </w:p>
        </w:tc>
        <w:tc>
          <w:tcPr>
            <w:tcW w:w="153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05</w:t>
            </w:r>
          </w:p>
        </w:tc>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2087"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行政事业单位离退休</w:t>
            </w:r>
          </w:p>
        </w:tc>
        <w:tc>
          <w:tcPr>
            <w:tcW w:w="164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199.31</w:t>
            </w:r>
          </w:p>
        </w:tc>
        <w:tc>
          <w:tcPr>
            <w:tcW w:w="1531"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199.31</w:t>
            </w:r>
          </w:p>
        </w:tc>
        <w:tc>
          <w:tcPr>
            <w:tcW w:w="153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xml:space="preserve">  208</w:t>
            </w:r>
          </w:p>
        </w:tc>
        <w:tc>
          <w:tcPr>
            <w:tcW w:w="576"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xml:space="preserve">  05</w:t>
            </w:r>
          </w:p>
        </w:tc>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04</w:t>
            </w:r>
          </w:p>
        </w:tc>
        <w:tc>
          <w:tcPr>
            <w:tcW w:w="2087"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未归口管理的行政单位离退休</w:t>
            </w:r>
          </w:p>
        </w:tc>
        <w:tc>
          <w:tcPr>
            <w:tcW w:w="164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129.98</w:t>
            </w:r>
          </w:p>
        </w:tc>
        <w:tc>
          <w:tcPr>
            <w:tcW w:w="1531"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129.98</w:t>
            </w:r>
          </w:p>
        </w:tc>
        <w:tc>
          <w:tcPr>
            <w:tcW w:w="153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xml:space="preserve">  208</w:t>
            </w:r>
          </w:p>
        </w:tc>
        <w:tc>
          <w:tcPr>
            <w:tcW w:w="576"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xml:space="preserve">  05</w:t>
            </w:r>
          </w:p>
        </w:tc>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05</w:t>
            </w:r>
          </w:p>
        </w:tc>
        <w:tc>
          <w:tcPr>
            <w:tcW w:w="2087"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机关事业单位基本养老保险缴费支出</w:t>
            </w:r>
          </w:p>
        </w:tc>
        <w:tc>
          <w:tcPr>
            <w:tcW w:w="1645"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69.33</w:t>
            </w:r>
          </w:p>
        </w:tc>
        <w:tc>
          <w:tcPr>
            <w:tcW w:w="1531"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69.33</w:t>
            </w:r>
          </w:p>
        </w:tc>
        <w:tc>
          <w:tcPr>
            <w:tcW w:w="153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bl>
    <w:p>
      <w:pPr>
        <w:widowControl/>
        <w:adjustRightInd w:val="0"/>
        <w:snapToGrid w:val="0"/>
        <w:spacing w:line="6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tbl>
      <w:tblPr>
        <w:tblStyle w:val="12"/>
        <w:tblW w:w="8522" w:type="dxa"/>
        <w:tblInd w:w="0" w:type="dxa"/>
        <w:tblLayout w:type="fixed"/>
        <w:tblCellMar>
          <w:top w:w="0" w:type="dxa"/>
          <w:left w:w="108" w:type="dxa"/>
          <w:bottom w:w="0" w:type="dxa"/>
          <w:right w:w="108" w:type="dxa"/>
        </w:tblCellMar>
      </w:tblPr>
      <w:tblGrid>
        <w:gridCol w:w="3523"/>
        <w:gridCol w:w="818"/>
        <w:gridCol w:w="1294"/>
        <w:gridCol w:w="838"/>
        <w:gridCol w:w="1128"/>
        <w:gridCol w:w="921"/>
      </w:tblGrid>
      <w:tr>
        <w:tblPrEx>
          <w:tblLayout w:type="fixed"/>
          <w:tblCellMar>
            <w:top w:w="0" w:type="dxa"/>
            <w:left w:w="108" w:type="dxa"/>
            <w:bottom w:w="0" w:type="dxa"/>
            <w:right w:w="108" w:type="dxa"/>
          </w:tblCellMar>
        </w:tblPrEx>
        <w:trPr>
          <w:trHeight w:val="405" w:hRule="atLeast"/>
        </w:trPr>
        <w:tc>
          <w:tcPr>
            <w:tcW w:w="3523" w:type="dxa"/>
            <w:tcBorders>
              <w:top w:val="single" w:color="auto" w:sz="4" w:space="0"/>
              <w:left w:val="single" w:color="auto" w:sz="4" w:space="0"/>
              <w:bottom w:val="nil"/>
              <w:right w:val="nil"/>
            </w:tcBorders>
            <w:shd w:val="clear" w:color="auto" w:fill="auto"/>
            <w:vAlign w:val="center"/>
          </w:tcPr>
          <w:p>
            <w:pPr>
              <w:widowControl/>
              <w:adjustRightInd w:val="0"/>
              <w:snapToGrid w:val="0"/>
              <w:spacing w:line="600" w:lineRule="exact"/>
              <w:jc w:val="center"/>
              <w:rPr>
                <w:rFonts w:ascii="宋体" w:hAnsi="宋体" w:cs="宋体"/>
                <w:b/>
                <w:bCs/>
                <w:kern w:val="0"/>
                <w:sz w:val="18"/>
                <w:szCs w:val="18"/>
              </w:rPr>
            </w:pPr>
            <w:r>
              <w:rPr>
                <w:rFonts w:hint="eastAsia" w:ascii="宋体" w:hAnsi="宋体" w:cs="宋体"/>
                <w:b/>
                <w:bCs/>
                <w:kern w:val="0"/>
                <w:sz w:val="18"/>
                <w:szCs w:val="18"/>
              </w:rPr>
              <w:t xml:space="preserve">                                                                    收            入</w:t>
            </w:r>
          </w:p>
        </w:tc>
        <w:tc>
          <w:tcPr>
            <w:tcW w:w="818" w:type="dxa"/>
            <w:tcBorders>
              <w:top w:val="single" w:color="auto" w:sz="4" w:space="0"/>
              <w:left w:val="nil"/>
              <w:bottom w:val="nil"/>
              <w:right w:val="nil"/>
            </w:tcBorders>
            <w:shd w:val="clear" w:color="auto" w:fill="auto"/>
            <w:vAlign w:val="bottom"/>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12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b/>
                <w:bCs/>
                <w:kern w:val="0"/>
                <w:sz w:val="20"/>
                <w:szCs w:val="20"/>
              </w:rPr>
            </w:pPr>
            <w:r>
              <w:rPr>
                <w:rFonts w:hint="eastAsia" w:ascii="宋体" w:hAnsi="宋体" w:cs="宋体"/>
                <w:b/>
                <w:bCs/>
                <w:kern w:val="0"/>
                <w:sz w:val="20"/>
                <w:szCs w:val="20"/>
              </w:rPr>
              <w:t>支               出</w:t>
            </w:r>
          </w:p>
        </w:tc>
        <w:tc>
          <w:tcPr>
            <w:tcW w:w="83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112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left"/>
              <w:rPr>
                <w:rFonts w:ascii="宋体" w:hAnsi="宋体" w:cs="宋体"/>
                <w:b/>
                <w:bCs/>
                <w:kern w:val="0"/>
                <w:sz w:val="20"/>
                <w:szCs w:val="20"/>
              </w:rPr>
            </w:pPr>
            <w:r>
              <w:rPr>
                <w:rFonts w:hint="eastAsia" w:ascii="宋体" w:hAnsi="宋体" w:cs="宋体"/>
                <w:b/>
                <w:bCs/>
                <w:kern w:val="0"/>
                <w:sz w:val="20"/>
                <w:szCs w:val="20"/>
              </w:rPr>
              <w:t>　</w:t>
            </w:r>
          </w:p>
        </w:tc>
        <w:tc>
          <w:tcPr>
            <w:tcW w:w="92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left"/>
              <w:rPr>
                <w:rFonts w:ascii="宋体" w:hAnsi="宋体" w:cs="宋体"/>
                <w:b/>
                <w:bCs/>
                <w:kern w:val="0"/>
                <w:sz w:val="20"/>
                <w:szCs w:val="20"/>
              </w:rPr>
            </w:pPr>
            <w:r>
              <w:rPr>
                <w:rFonts w:hint="eastAsia" w:ascii="宋体" w:hAnsi="宋体" w:cs="宋体"/>
                <w:b/>
                <w:bCs/>
                <w:kern w:val="0"/>
                <w:sz w:val="20"/>
                <w:szCs w:val="20"/>
              </w:rPr>
              <w:t>　</w:t>
            </w:r>
          </w:p>
        </w:tc>
      </w:tr>
      <w:tr>
        <w:tblPrEx>
          <w:tblLayout w:type="fixed"/>
          <w:tblCellMar>
            <w:top w:w="0" w:type="dxa"/>
            <w:left w:w="108" w:type="dxa"/>
            <w:bottom w:w="0" w:type="dxa"/>
            <w:right w:w="108" w:type="dxa"/>
          </w:tblCellMar>
        </w:tblPrEx>
        <w:trPr>
          <w:trHeight w:val="420" w:hRule="atLeast"/>
        </w:trPr>
        <w:tc>
          <w:tcPr>
            <w:tcW w:w="35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项    目</w:t>
            </w:r>
          </w:p>
        </w:tc>
        <w:tc>
          <w:tcPr>
            <w:tcW w:w="81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合     计</w:t>
            </w:r>
          </w:p>
        </w:tc>
        <w:tc>
          <w:tcPr>
            <w:tcW w:w="129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功  能  分  类</w:t>
            </w:r>
          </w:p>
        </w:tc>
        <w:tc>
          <w:tcPr>
            <w:tcW w:w="838" w:type="dxa"/>
            <w:tcBorders>
              <w:top w:val="nil"/>
              <w:left w:val="nil"/>
              <w:bottom w:val="nil"/>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合</w:t>
            </w:r>
            <w:r>
              <w:rPr>
                <w:kern w:val="0"/>
                <w:sz w:val="18"/>
                <w:szCs w:val="18"/>
              </w:rPr>
              <w:t xml:space="preserve">           </w:t>
            </w:r>
            <w:r>
              <w:rPr>
                <w:rFonts w:hint="eastAsia" w:ascii="宋体" w:hAnsi="宋体" w:cs="宋体"/>
                <w:kern w:val="0"/>
                <w:sz w:val="18"/>
                <w:szCs w:val="18"/>
              </w:rPr>
              <w:t>计</w:t>
            </w:r>
          </w:p>
        </w:tc>
        <w:tc>
          <w:tcPr>
            <w:tcW w:w="112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一  般  公  共  预  算</w:t>
            </w:r>
          </w:p>
        </w:tc>
        <w:tc>
          <w:tcPr>
            <w:tcW w:w="921" w:type="dxa"/>
            <w:tcBorders>
              <w:top w:val="nil"/>
              <w:left w:val="nil"/>
              <w:bottom w:val="nil"/>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基</w:t>
            </w:r>
            <w:r>
              <w:rPr>
                <w:kern w:val="0"/>
                <w:sz w:val="18"/>
                <w:szCs w:val="18"/>
              </w:rPr>
              <w:t xml:space="preserve">   </w:t>
            </w:r>
            <w:r>
              <w:rPr>
                <w:rFonts w:hint="eastAsia" w:ascii="宋体" w:hAnsi="宋体" w:cs="宋体"/>
                <w:kern w:val="0"/>
                <w:sz w:val="18"/>
                <w:szCs w:val="18"/>
              </w:rPr>
              <w:t>金</w:t>
            </w:r>
            <w:r>
              <w:rPr>
                <w:kern w:val="0"/>
                <w:sz w:val="18"/>
                <w:szCs w:val="18"/>
              </w:rPr>
              <w:t xml:space="preserve">   </w:t>
            </w:r>
            <w:r>
              <w:rPr>
                <w:rFonts w:hint="eastAsia" w:ascii="宋体" w:hAnsi="宋体" w:cs="宋体"/>
                <w:kern w:val="0"/>
                <w:sz w:val="18"/>
                <w:szCs w:val="18"/>
              </w:rPr>
              <w:t>预</w:t>
            </w:r>
            <w:r>
              <w:rPr>
                <w:kern w:val="0"/>
                <w:sz w:val="18"/>
                <w:szCs w:val="18"/>
              </w:rPr>
              <w:t xml:space="preserve">   </w:t>
            </w:r>
            <w:r>
              <w:rPr>
                <w:rFonts w:hint="eastAsia" w:ascii="宋体" w:hAnsi="宋体" w:cs="宋体"/>
                <w:kern w:val="0"/>
                <w:sz w:val="18"/>
                <w:szCs w:val="18"/>
              </w:rPr>
              <w:t>算</w:t>
            </w:r>
          </w:p>
        </w:tc>
      </w:tr>
      <w:tr>
        <w:tblPrEx>
          <w:tblLayout w:type="fixed"/>
          <w:tblCellMar>
            <w:top w:w="0" w:type="dxa"/>
            <w:left w:w="108" w:type="dxa"/>
            <w:bottom w:w="0" w:type="dxa"/>
            <w:right w:w="108" w:type="dxa"/>
          </w:tblCellMar>
        </w:tblPrEx>
        <w:trPr>
          <w:trHeight w:val="360" w:hRule="atLeast"/>
        </w:trPr>
        <w:tc>
          <w:tcPr>
            <w:tcW w:w="3523"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财政拨款（补助）</w:t>
            </w:r>
          </w:p>
        </w:tc>
        <w:tc>
          <w:tcPr>
            <w:tcW w:w="81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842.08</w:t>
            </w:r>
          </w:p>
        </w:tc>
        <w:tc>
          <w:tcPr>
            <w:tcW w:w="1294"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201 一般公共服务支出</w:t>
            </w:r>
          </w:p>
        </w:tc>
        <w:tc>
          <w:tcPr>
            <w:tcW w:w="838" w:type="dxa"/>
            <w:tcBorders>
              <w:top w:val="single" w:color="auto" w:sz="4" w:space="0"/>
              <w:left w:val="single" w:color="auto" w:sz="4" w:space="0"/>
              <w:bottom w:val="nil"/>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xml:space="preserve">642.77 </w:t>
            </w:r>
          </w:p>
        </w:tc>
        <w:tc>
          <w:tcPr>
            <w:tcW w:w="1128"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xml:space="preserve">642.77 </w:t>
            </w:r>
          </w:p>
        </w:tc>
        <w:tc>
          <w:tcPr>
            <w:tcW w:w="921" w:type="dxa"/>
            <w:tcBorders>
              <w:top w:val="single" w:color="auto" w:sz="4" w:space="0"/>
              <w:left w:val="single" w:color="auto" w:sz="4" w:space="0"/>
              <w:bottom w:val="nil"/>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3523"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一般公共预算</w:t>
            </w:r>
          </w:p>
        </w:tc>
        <w:tc>
          <w:tcPr>
            <w:tcW w:w="81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842.08</w:t>
            </w:r>
          </w:p>
        </w:tc>
        <w:tc>
          <w:tcPr>
            <w:tcW w:w="1294"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202 外交支出</w:t>
            </w:r>
          </w:p>
        </w:tc>
        <w:tc>
          <w:tcPr>
            <w:tcW w:w="838" w:type="dxa"/>
            <w:tcBorders>
              <w:top w:val="single" w:color="auto" w:sz="4" w:space="0"/>
              <w:left w:val="single" w:color="auto" w:sz="4" w:space="0"/>
              <w:bottom w:val="nil"/>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128" w:type="dxa"/>
            <w:tcBorders>
              <w:top w:val="nil"/>
              <w:left w:val="nil"/>
              <w:bottom w:val="nil"/>
              <w:right w:val="nil"/>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921" w:type="dxa"/>
            <w:tcBorders>
              <w:top w:val="single" w:color="auto" w:sz="4" w:space="0"/>
              <w:left w:val="single" w:color="auto" w:sz="4" w:space="0"/>
              <w:bottom w:val="nil"/>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3523"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政府性基金预算</w:t>
            </w:r>
          </w:p>
        </w:tc>
        <w:tc>
          <w:tcPr>
            <w:tcW w:w="81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294"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203 国防支出</w:t>
            </w:r>
          </w:p>
        </w:tc>
        <w:tc>
          <w:tcPr>
            <w:tcW w:w="838" w:type="dxa"/>
            <w:tcBorders>
              <w:top w:val="single" w:color="auto" w:sz="4" w:space="0"/>
              <w:left w:val="single" w:color="auto" w:sz="4" w:space="0"/>
              <w:bottom w:val="nil"/>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128" w:type="dxa"/>
            <w:tcBorders>
              <w:top w:val="single" w:color="auto" w:sz="4" w:space="0"/>
              <w:left w:val="nil"/>
              <w:bottom w:val="nil"/>
              <w:right w:val="nil"/>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921" w:type="dxa"/>
            <w:tcBorders>
              <w:top w:val="single" w:color="auto" w:sz="4" w:space="0"/>
              <w:left w:val="single" w:color="auto" w:sz="4" w:space="0"/>
              <w:bottom w:val="nil"/>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3523"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818"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294"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204 公共安全支出</w:t>
            </w:r>
          </w:p>
        </w:tc>
        <w:tc>
          <w:tcPr>
            <w:tcW w:w="838" w:type="dxa"/>
            <w:tcBorders>
              <w:top w:val="single" w:color="auto" w:sz="4" w:space="0"/>
              <w:left w:val="single" w:color="auto" w:sz="4" w:space="0"/>
              <w:bottom w:val="nil"/>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128" w:type="dxa"/>
            <w:tcBorders>
              <w:top w:val="single" w:color="auto" w:sz="4" w:space="0"/>
              <w:left w:val="nil"/>
              <w:bottom w:val="nil"/>
              <w:right w:val="nil"/>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921" w:type="dxa"/>
            <w:tcBorders>
              <w:top w:val="single" w:color="auto" w:sz="4" w:space="0"/>
              <w:left w:val="single" w:color="auto" w:sz="4" w:space="0"/>
              <w:bottom w:val="nil"/>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3523"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818"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294"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205 教育支出</w:t>
            </w:r>
          </w:p>
        </w:tc>
        <w:tc>
          <w:tcPr>
            <w:tcW w:w="838" w:type="dxa"/>
            <w:tcBorders>
              <w:top w:val="single" w:color="auto" w:sz="4" w:space="0"/>
              <w:left w:val="single" w:color="auto" w:sz="4" w:space="0"/>
              <w:bottom w:val="nil"/>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128" w:type="dxa"/>
            <w:tcBorders>
              <w:top w:val="single" w:color="auto" w:sz="4" w:space="0"/>
              <w:left w:val="nil"/>
              <w:bottom w:val="single" w:color="auto" w:sz="4" w:space="0"/>
              <w:right w:val="nil"/>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9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3523"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818"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294"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206 科学技术支出</w:t>
            </w:r>
          </w:p>
        </w:tc>
        <w:tc>
          <w:tcPr>
            <w:tcW w:w="838" w:type="dxa"/>
            <w:tcBorders>
              <w:top w:val="single" w:color="auto" w:sz="4" w:space="0"/>
              <w:left w:val="single" w:color="auto" w:sz="4" w:space="0"/>
              <w:bottom w:val="nil"/>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128"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921" w:type="dxa"/>
            <w:tcBorders>
              <w:top w:val="nil"/>
              <w:left w:val="single" w:color="auto" w:sz="4" w:space="0"/>
              <w:bottom w:val="nil"/>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3523"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818"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294"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207 文化旅游体育与传媒支出</w:t>
            </w:r>
          </w:p>
        </w:tc>
        <w:tc>
          <w:tcPr>
            <w:tcW w:w="838" w:type="dxa"/>
            <w:tcBorders>
              <w:top w:val="single" w:color="auto" w:sz="4" w:space="0"/>
              <w:left w:val="single" w:color="auto" w:sz="4" w:space="0"/>
              <w:bottom w:val="nil"/>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128" w:type="dxa"/>
            <w:tcBorders>
              <w:top w:val="nil"/>
              <w:left w:val="nil"/>
              <w:bottom w:val="nil"/>
              <w:right w:val="nil"/>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9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3523"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818"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294"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208 社会保障和就业支出</w:t>
            </w:r>
          </w:p>
        </w:tc>
        <w:tc>
          <w:tcPr>
            <w:tcW w:w="838" w:type="dxa"/>
            <w:tcBorders>
              <w:top w:val="single" w:color="auto" w:sz="4" w:space="0"/>
              <w:left w:val="single" w:color="auto" w:sz="4" w:space="0"/>
              <w:bottom w:val="nil"/>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xml:space="preserve">199.31 </w:t>
            </w:r>
          </w:p>
        </w:tc>
        <w:tc>
          <w:tcPr>
            <w:tcW w:w="1128" w:type="dxa"/>
            <w:tcBorders>
              <w:top w:val="single" w:color="auto" w:sz="4" w:space="0"/>
              <w:left w:val="nil"/>
              <w:bottom w:val="nil"/>
              <w:right w:val="nil"/>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xml:space="preserve">199.31 </w:t>
            </w:r>
          </w:p>
        </w:tc>
        <w:tc>
          <w:tcPr>
            <w:tcW w:w="921" w:type="dxa"/>
            <w:tcBorders>
              <w:top w:val="nil"/>
              <w:left w:val="single" w:color="auto" w:sz="4" w:space="0"/>
              <w:bottom w:val="nil"/>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3523"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818"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294"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209 社会保险基金支出</w:t>
            </w:r>
          </w:p>
        </w:tc>
        <w:tc>
          <w:tcPr>
            <w:tcW w:w="838" w:type="dxa"/>
            <w:tcBorders>
              <w:top w:val="single" w:color="auto" w:sz="4" w:space="0"/>
              <w:left w:val="single" w:color="auto" w:sz="4" w:space="0"/>
              <w:bottom w:val="nil"/>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12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921" w:type="dxa"/>
            <w:tcBorders>
              <w:top w:val="single" w:color="auto" w:sz="4" w:space="0"/>
              <w:left w:val="nil"/>
              <w:bottom w:val="nil"/>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3523"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818"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294"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210 卫生健康支出</w:t>
            </w:r>
          </w:p>
        </w:tc>
        <w:tc>
          <w:tcPr>
            <w:tcW w:w="838" w:type="dxa"/>
            <w:tcBorders>
              <w:top w:val="single" w:color="auto" w:sz="4" w:space="0"/>
              <w:left w:val="single" w:color="auto" w:sz="4" w:space="0"/>
              <w:bottom w:val="nil"/>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12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921" w:type="dxa"/>
            <w:tcBorders>
              <w:top w:val="single" w:color="auto" w:sz="4" w:space="0"/>
              <w:left w:val="nil"/>
              <w:bottom w:val="nil"/>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3523"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818"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294"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211 节能环保支出</w:t>
            </w:r>
          </w:p>
        </w:tc>
        <w:tc>
          <w:tcPr>
            <w:tcW w:w="838" w:type="dxa"/>
            <w:tcBorders>
              <w:top w:val="single" w:color="auto" w:sz="4" w:space="0"/>
              <w:left w:val="single" w:color="auto" w:sz="4" w:space="0"/>
              <w:bottom w:val="nil"/>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12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92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3523"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818"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294"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212 城乡社区支出</w:t>
            </w:r>
          </w:p>
        </w:tc>
        <w:tc>
          <w:tcPr>
            <w:tcW w:w="838" w:type="dxa"/>
            <w:tcBorders>
              <w:top w:val="single" w:color="auto" w:sz="4" w:space="0"/>
              <w:left w:val="single" w:color="auto" w:sz="4" w:space="0"/>
              <w:bottom w:val="nil"/>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12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92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3523"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818"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294"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213 农林水支出</w:t>
            </w:r>
          </w:p>
        </w:tc>
        <w:tc>
          <w:tcPr>
            <w:tcW w:w="838" w:type="dxa"/>
            <w:tcBorders>
              <w:top w:val="single" w:color="auto" w:sz="4" w:space="0"/>
              <w:left w:val="single" w:color="auto" w:sz="4" w:space="0"/>
              <w:bottom w:val="nil"/>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12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92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3523"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818"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294"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214 交通运输支出</w:t>
            </w:r>
          </w:p>
        </w:tc>
        <w:tc>
          <w:tcPr>
            <w:tcW w:w="838" w:type="dxa"/>
            <w:tcBorders>
              <w:top w:val="single" w:color="auto" w:sz="4" w:space="0"/>
              <w:left w:val="single" w:color="auto" w:sz="4" w:space="0"/>
              <w:bottom w:val="nil"/>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12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92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3523"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818"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294"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215 资源勘探信息等支出</w:t>
            </w:r>
          </w:p>
        </w:tc>
        <w:tc>
          <w:tcPr>
            <w:tcW w:w="838" w:type="dxa"/>
            <w:tcBorders>
              <w:top w:val="single" w:color="auto" w:sz="4" w:space="0"/>
              <w:left w:val="single" w:color="auto" w:sz="4" w:space="0"/>
              <w:bottom w:val="nil"/>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12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92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3523"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818"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294"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216 商业服务业等支出</w:t>
            </w:r>
          </w:p>
        </w:tc>
        <w:tc>
          <w:tcPr>
            <w:tcW w:w="838" w:type="dxa"/>
            <w:tcBorders>
              <w:top w:val="single" w:color="auto" w:sz="4" w:space="0"/>
              <w:left w:val="single" w:color="auto" w:sz="4" w:space="0"/>
              <w:bottom w:val="nil"/>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12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921"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30" w:hRule="atLeast"/>
        </w:trPr>
        <w:tc>
          <w:tcPr>
            <w:tcW w:w="3523" w:type="dxa"/>
            <w:vMerge w:val="restart"/>
            <w:tcBorders>
              <w:top w:val="nil"/>
              <w:left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818" w:type="dxa"/>
            <w:vMerge w:val="restart"/>
            <w:tcBorders>
              <w:top w:val="nil"/>
              <w:left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294" w:type="dxa"/>
            <w:vMerge w:val="restart"/>
            <w:tcBorders>
              <w:top w:val="nil"/>
              <w:left w:val="nil"/>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217 金融支出</w:t>
            </w: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12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921" w:type="dxa"/>
            <w:vMerge w:val="restart"/>
            <w:tcBorders>
              <w:top w:val="nil"/>
              <w:left w:val="nil"/>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15" w:hRule="atLeast"/>
        </w:trPr>
        <w:tc>
          <w:tcPr>
            <w:tcW w:w="3523" w:type="dxa"/>
            <w:vMerge w:val="continue"/>
            <w:tcBorders>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p>
        </w:tc>
        <w:tc>
          <w:tcPr>
            <w:tcW w:w="818" w:type="dxa"/>
            <w:vMerge w:val="continue"/>
            <w:tcBorders>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p>
        </w:tc>
        <w:tc>
          <w:tcPr>
            <w:tcW w:w="1294" w:type="dxa"/>
            <w:vMerge w:val="continue"/>
            <w:tcBorders>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p>
        </w:tc>
        <w:tc>
          <w:tcPr>
            <w:tcW w:w="838" w:type="dxa"/>
            <w:tcBorders>
              <w:top w:val="single" w:color="auto" w:sz="4" w:space="0"/>
              <w:left w:val="single" w:color="auto" w:sz="4" w:space="0"/>
              <w:bottom w:val="nil"/>
              <w:right w:val="single" w:color="auto" w:sz="4" w:space="0"/>
            </w:tcBorders>
            <w:shd w:val="clear" w:color="auto" w:fill="auto"/>
            <w:vAlign w:val="center"/>
          </w:tcPr>
          <w:p>
            <w:pPr>
              <w:adjustRightInd w:val="0"/>
              <w:snapToGrid w:val="0"/>
              <w:spacing w:line="600" w:lineRule="exact"/>
              <w:jc w:val="right"/>
              <w:rPr>
                <w:rFonts w:ascii="宋体" w:hAnsi="宋体" w:cs="宋体"/>
                <w:kern w:val="0"/>
                <w:sz w:val="18"/>
                <w:szCs w:val="18"/>
              </w:rPr>
            </w:pPr>
          </w:p>
        </w:tc>
        <w:tc>
          <w:tcPr>
            <w:tcW w:w="112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600" w:lineRule="exact"/>
              <w:jc w:val="right"/>
              <w:rPr>
                <w:rFonts w:ascii="宋体" w:hAnsi="宋体" w:cs="宋体"/>
                <w:kern w:val="0"/>
                <w:sz w:val="18"/>
                <w:szCs w:val="18"/>
              </w:rPr>
            </w:pPr>
          </w:p>
        </w:tc>
        <w:tc>
          <w:tcPr>
            <w:tcW w:w="921" w:type="dxa"/>
            <w:vMerge w:val="continue"/>
            <w:tcBorders>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60" w:hRule="atLeast"/>
        </w:trPr>
        <w:tc>
          <w:tcPr>
            <w:tcW w:w="3523" w:type="dxa"/>
            <w:tcBorders>
              <w:top w:val="single" w:color="auto" w:sz="4" w:space="0"/>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818"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294" w:type="dxa"/>
            <w:tcBorders>
              <w:top w:val="single" w:color="auto" w:sz="4" w:space="0"/>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219 援助其他地区支出</w:t>
            </w:r>
          </w:p>
        </w:tc>
        <w:tc>
          <w:tcPr>
            <w:tcW w:w="838" w:type="dxa"/>
            <w:tcBorders>
              <w:top w:val="single" w:color="auto" w:sz="4" w:space="0"/>
              <w:left w:val="single" w:color="auto" w:sz="4" w:space="0"/>
              <w:bottom w:val="nil"/>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12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921" w:type="dxa"/>
            <w:tcBorders>
              <w:top w:val="single" w:color="auto" w:sz="4" w:space="0"/>
              <w:left w:val="nil"/>
              <w:bottom w:val="nil"/>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3523"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818"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294"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220 自然资源海洋气象等支出</w:t>
            </w:r>
          </w:p>
        </w:tc>
        <w:tc>
          <w:tcPr>
            <w:tcW w:w="838" w:type="dxa"/>
            <w:tcBorders>
              <w:top w:val="single" w:color="auto" w:sz="4" w:space="0"/>
              <w:left w:val="single" w:color="auto" w:sz="4" w:space="0"/>
              <w:bottom w:val="nil"/>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12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921" w:type="dxa"/>
            <w:tcBorders>
              <w:top w:val="single" w:color="auto" w:sz="4" w:space="0"/>
              <w:left w:val="nil"/>
              <w:bottom w:val="nil"/>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3523"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818"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294"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221 住房保障支出</w:t>
            </w:r>
          </w:p>
        </w:tc>
        <w:tc>
          <w:tcPr>
            <w:tcW w:w="838" w:type="dxa"/>
            <w:tcBorders>
              <w:top w:val="single" w:color="auto" w:sz="4" w:space="0"/>
              <w:left w:val="single" w:color="auto" w:sz="4" w:space="0"/>
              <w:bottom w:val="nil"/>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12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921" w:type="dxa"/>
            <w:tcBorders>
              <w:top w:val="single" w:color="auto" w:sz="4" w:space="0"/>
              <w:left w:val="nil"/>
              <w:bottom w:val="nil"/>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3523"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818"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294"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222 粮油物资储备支出</w:t>
            </w: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12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921" w:type="dxa"/>
            <w:tcBorders>
              <w:top w:val="single" w:color="auto" w:sz="4" w:space="0"/>
              <w:left w:val="nil"/>
              <w:bottom w:val="nil"/>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3523"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818"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294"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223 国有资本经营预算支出</w:t>
            </w:r>
          </w:p>
        </w:tc>
        <w:tc>
          <w:tcPr>
            <w:tcW w:w="838" w:type="dxa"/>
            <w:tcBorders>
              <w:top w:val="nil"/>
              <w:left w:val="single" w:color="000000" w:sz="4" w:space="0"/>
              <w:bottom w:val="single" w:color="000000"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128" w:type="dxa"/>
            <w:tcBorders>
              <w:top w:val="nil"/>
              <w:left w:val="nil"/>
              <w:bottom w:val="single" w:color="000000"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921" w:type="dxa"/>
            <w:tcBorders>
              <w:top w:val="single" w:color="000000" w:sz="4" w:space="0"/>
              <w:left w:val="nil"/>
              <w:bottom w:val="single" w:color="000000"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3523"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818"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294"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224 灾害防治及应急管理支出</w:t>
            </w:r>
          </w:p>
        </w:tc>
        <w:tc>
          <w:tcPr>
            <w:tcW w:w="838" w:type="dxa"/>
            <w:tcBorders>
              <w:top w:val="nil"/>
              <w:left w:val="single" w:color="000000" w:sz="4" w:space="0"/>
              <w:bottom w:val="single" w:color="000000"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128" w:type="dxa"/>
            <w:tcBorders>
              <w:top w:val="nil"/>
              <w:left w:val="nil"/>
              <w:bottom w:val="single" w:color="000000"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921" w:type="dxa"/>
            <w:tcBorders>
              <w:top w:val="nil"/>
              <w:left w:val="nil"/>
              <w:bottom w:val="single" w:color="000000"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3523"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818"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294"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227 预备费</w:t>
            </w:r>
          </w:p>
        </w:tc>
        <w:tc>
          <w:tcPr>
            <w:tcW w:w="838" w:type="dxa"/>
            <w:tcBorders>
              <w:top w:val="nil"/>
              <w:left w:val="single" w:color="000000" w:sz="4" w:space="0"/>
              <w:bottom w:val="single" w:color="000000"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128" w:type="dxa"/>
            <w:tcBorders>
              <w:top w:val="nil"/>
              <w:left w:val="nil"/>
              <w:bottom w:val="single" w:color="000000"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921" w:type="dxa"/>
            <w:tcBorders>
              <w:top w:val="nil"/>
              <w:left w:val="nil"/>
              <w:bottom w:val="single" w:color="000000"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3523"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818"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294"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229 其他支出</w:t>
            </w:r>
          </w:p>
        </w:tc>
        <w:tc>
          <w:tcPr>
            <w:tcW w:w="83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128"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921" w:type="dxa"/>
            <w:tcBorders>
              <w:top w:val="nil"/>
              <w:left w:val="single" w:color="auto" w:sz="4" w:space="0"/>
              <w:bottom w:val="nil"/>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3523"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818"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294"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231 债务还本支出</w:t>
            </w:r>
          </w:p>
        </w:tc>
        <w:tc>
          <w:tcPr>
            <w:tcW w:w="838"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128"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9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3523"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818"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294"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232 债务付息支出</w:t>
            </w:r>
          </w:p>
        </w:tc>
        <w:tc>
          <w:tcPr>
            <w:tcW w:w="838"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128"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92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3523"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818"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294"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233 债务发行费支出</w:t>
            </w:r>
          </w:p>
        </w:tc>
        <w:tc>
          <w:tcPr>
            <w:tcW w:w="83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128"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921" w:type="dxa"/>
            <w:tcBorders>
              <w:top w:val="nil"/>
              <w:left w:val="single" w:color="auto" w:sz="4" w:space="0"/>
              <w:bottom w:val="nil"/>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3523"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294"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838" w:type="dxa"/>
            <w:tcBorders>
              <w:top w:val="nil"/>
              <w:left w:val="single" w:color="auto" w:sz="4" w:space="0"/>
              <w:bottom w:val="nil"/>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128"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921" w:type="dxa"/>
            <w:tcBorders>
              <w:top w:val="single" w:color="auto" w:sz="4" w:space="0"/>
              <w:left w:val="single" w:color="auto" w:sz="4" w:space="0"/>
              <w:bottom w:val="nil"/>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3523"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小           计</w:t>
            </w:r>
          </w:p>
        </w:tc>
        <w:tc>
          <w:tcPr>
            <w:tcW w:w="81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842.08</w:t>
            </w:r>
          </w:p>
        </w:tc>
        <w:tc>
          <w:tcPr>
            <w:tcW w:w="129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小           计</w:t>
            </w:r>
          </w:p>
        </w:tc>
        <w:tc>
          <w:tcPr>
            <w:tcW w:w="83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xml:space="preserve">842.08 </w:t>
            </w:r>
          </w:p>
        </w:tc>
        <w:tc>
          <w:tcPr>
            <w:tcW w:w="112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xml:space="preserve">842.08 </w:t>
            </w:r>
          </w:p>
        </w:tc>
        <w:tc>
          <w:tcPr>
            <w:tcW w:w="92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3523"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81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294"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230 转移性支出</w:t>
            </w:r>
          </w:p>
        </w:tc>
        <w:tc>
          <w:tcPr>
            <w:tcW w:w="83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128"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921"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3523" w:type="dxa"/>
            <w:tcBorders>
              <w:top w:val="nil"/>
              <w:left w:val="single" w:color="auto" w:sz="4" w:space="0"/>
              <w:bottom w:val="nil"/>
              <w:right w:val="nil"/>
            </w:tcBorders>
            <w:shd w:val="clear" w:color="auto" w:fill="auto"/>
            <w:vAlign w:val="bottom"/>
          </w:tcPr>
          <w:p>
            <w:pPr>
              <w:widowControl/>
              <w:adjustRightInd w:val="0"/>
              <w:snapToGrid w:val="0"/>
              <w:spacing w:line="600" w:lineRule="exact"/>
              <w:jc w:val="left"/>
              <w:rPr>
                <w:rFonts w:ascii="宋体" w:hAnsi="宋体" w:cs="宋体"/>
                <w:kern w:val="0"/>
                <w:sz w:val="18"/>
                <w:szCs w:val="18"/>
              </w:rPr>
            </w:pPr>
          </w:p>
        </w:tc>
        <w:tc>
          <w:tcPr>
            <w:tcW w:w="818" w:type="dxa"/>
            <w:tcBorders>
              <w:top w:val="nil"/>
              <w:left w:val="single" w:color="auto" w:sz="4" w:space="0"/>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29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838" w:type="dxa"/>
            <w:tcBorders>
              <w:top w:val="nil"/>
              <w:left w:val="nil"/>
              <w:bottom w:val="nil"/>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128"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600" w:lineRule="exact"/>
              <w:jc w:val="right"/>
              <w:rPr>
                <w:rFonts w:ascii="宋体" w:hAnsi="宋体" w:cs="宋体"/>
                <w:color w:val="0000FF"/>
                <w:kern w:val="0"/>
                <w:sz w:val="18"/>
                <w:szCs w:val="18"/>
              </w:rPr>
            </w:pPr>
            <w:r>
              <w:rPr>
                <w:rFonts w:hint="eastAsia" w:ascii="宋体" w:hAnsi="宋体" w:cs="宋体"/>
                <w:color w:val="0000FF"/>
                <w:kern w:val="0"/>
                <w:sz w:val="18"/>
                <w:szCs w:val="18"/>
              </w:rPr>
              <w:t>　</w:t>
            </w:r>
          </w:p>
        </w:tc>
        <w:tc>
          <w:tcPr>
            <w:tcW w:w="921" w:type="dxa"/>
            <w:tcBorders>
              <w:top w:val="nil"/>
              <w:left w:val="nil"/>
              <w:bottom w:val="nil"/>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3523" w:type="dxa"/>
            <w:tcBorders>
              <w:top w:val="single" w:color="auto" w:sz="4" w:space="0"/>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收  入  总  计</w:t>
            </w:r>
          </w:p>
        </w:tc>
        <w:tc>
          <w:tcPr>
            <w:tcW w:w="81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842.08</w:t>
            </w:r>
          </w:p>
        </w:tc>
        <w:tc>
          <w:tcPr>
            <w:tcW w:w="1294"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支  出  合  计</w:t>
            </w: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xml:space="preserve">842.08 </w:t>
            </w:r>
          </w:p>
        </w:tc>
        <w:tc>
          <w:tcPr>
            <w:tcW w:w="1128"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xml:space="preserve">842.08 </w:t>
            </w:r>
          </w:p>
        </w:tc>
        <w:tc>
          <w:tcPr>
            <w:tcW w:w="92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bl>
    <w:p>
      <w:pPr>
        <w:widowControl/>
        <w:adjustRightInd w:val="0"/>
        <w:snapToGrid w:val="0"/>
        <w:spacing w:line="600" w:lineRule="exact"/>
        <w:outlineLvl w:val="1"/>
        <w:rPr>
          <w:rFonts w:ascii="仿宋_GB2312" w:hAnsi="宋体" w:eastAsia="仿宋_GB2312"/>
          <w:kern w:val="0"/>
          <w:sz w:val="32"/>
          <w:szCs w:val="32"/>
        </w:rPr>
      </w:pPr>
    </w:p>
    <w:p>
      <w:pPr>
        <w:widowControl/>
        <w:adjustRightInd w:val="0"/>
        <w:snapToGrid w:val="0"/>
        <w:spacing w:line="6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tbl>
      <w:tblPr>
        <w:tblStyle w:val="12"/>
        <w:tblW w:w="8522" w:type="dxa"/>
        <w:tblInd w:w="0" w:type="dxa"/>
        <w:tblLayout w:type="fixed"/>
        <w:tblCellMar>
          <w:top w:w="0" w:type="dxa"/>
          <w:left w:w="108" w:type="dxa"/>
          <w:bottom w:w="0" w:type="dxa"/>
          <w:right w:w="108" w:type="dxa"/>
        </w:tblCellMar>
      </w:tblPr>
      <w:tblGrid>
        <w:gridCol w:w="576"/>
        <w:gridCol w:w="576"/>
        <w:gridCol w:w="576"/>
        <w:gridCol w:w="2740"/>
        <w:gridCol w:w="1656"/>
        <w:gridCol w:w="1199"/>
        <w:gridCol w:w="1199"/>
      </w:tblGrid>
      <w:tr>
        <w:tblPrEx>
          <w:tblLayout w:type="fixed"/>
          <w:tblCellMar>
            <w:top w:w="0" w:type="dxa"/>
            <w:left w:w="108" w:type="dxa"/>
            <w:bottom w:w="0" w:type="dxa"/>
            <w:right w:w="108" w:type="dxa"/>
          </w:tblCellMar>
        </w:tblPrEx>
        <w:trPr>
          <w:trHeight w:val="360" w:hRule="atLeast"/>
        </w:trPr>
        <w:tc>
          <w:tcPr>
            <w:tcW w:w="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项目</w:t>
            </w:r>
          </w:p>
        </w:tc>
        <w:tc>
          <w:tcPr>
            <w:tcW w:w="57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57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27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65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一般公共预算支出</w:t>
            </w:r>
          </w:p>
        </w:tc>
        <w:tc>
          <w:tcPr>
            <w:tcW w:w="119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19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5" w:hRule="atLeast"/>
        </w:trPr>
        <w:tc>
          <w:tcPr>
            <w:tcW w:w="172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功能分类科目编码</w:t>
            </w:r>
          </w:p>
        </w:tc>
        <w:tc>
          <w:tcPr>
            <w:tcW w:w="2740" w:type="dxa"/>
            <w:vMerge w:val="restart"/>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功能分类科目名称</w:t>
            </w:r>
          </w:p>
        </w:tc>
        <w:tc>
          <w:tcPr>
            <w:tcW w:w="1656" w:type="dxa"/>
            <w:vMerge w:val="restart"/>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总      计</w:t>
            </w:r>
          </w:p>
        </w:tc>
        <w:tc>
          <w:tcPr>
            <w:tcW w:w="1199"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基本支出</w:t>
            </w:r>
          </w:p>
        </w:tc>
        <w:tc>
          <w:tcPr>
            <w:tcW w:w="1199"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项目支出</w:t>
            </w:r>
          </w:p>
        </w:tc>
      </w:tr>
      <w:tr>
        <w:tblPrEx>
          <w:tblLayout w:type="fixed"/>
          <w:tblCellMar>
            <w:top w:w="0" w:type="dxa"/>
            <w:left w:w="108" w:type="dxa"/>
            <w:bottom w:w="0" w:type="dxa"/>
            <w:right w:w="108" w:type="dxa"/>
          </w:tblCellMar>
        </w:tblPrEx>
        <w:trPr>
          <w:trHeight w:val="600" w:hRule="atLeast"/>
        </w:trPr>
        <w:tc>
          <w:tcPr>
            <w:tcW w:w="576"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类</w:t>
            </w:r>
          </w:p>
        </w:tc>
        <w:tc>
          <w:tcPr>
            <w:tcW w:w="576"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款</w:t>
            </w:r>
          </w:p>
        </w:tc>
        <w:tc>
          <w:tcPr>
            <w:tcW w:w="576"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项</w:t>
            </w:r>
          </w:p>
        </w:tc>
        <w:tc>
          <w:tcPr>
            <w:tcW w:w="2740" w:type="dxa"/>
            <w:vMerge w:val="continue"/>
            <w:tcBorders>
              <w:top w:val="nil"/>
              <w:left w:val="nil"/>
              <w:bottom w:val="single" w:color="auto"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1656" w:type="dxa"/>
            <w:vMerge w:val="continue"/>
            <w:tcBorders>
              <w:top w:val="nil"/>
              <w:left w:val="single" w:color="auto" w:sz="4" w:space="0"/>
              <w:bottom w:val="single" w:color="auto" w:sz="4" w:space="0"/>
              <w:right w:val="nil"/>
            </w:tcBorders>
            <w:vAlign w:val="center"/>
          </w:tcPr>
          <w:p>
            <w:pPr>
              <w:widowControl/>
              <w:adjustRightInd w:val="0"/>
              <w:snapToGrid w:val="0"/>
              <w:spacing w:line="600" w:lineRule="exact"/>
              <w:jc w:val="left"/>
              <w:rPr>
                <w:rFonts w:ascii="宋体" w:hAnsi="宋体" w:cs="宋体"/>
                <w:kern w:val="0"/>
                <w:sz w:val="18"/>
                <w:szCs w:val="18"/>
              </w:rPr>
            </w:pPr>
          </w:p>
        </w:tc>
        <w:tc>
          <w:tcPr>
            <w:tcW w:w="1199"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1199"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600" w:hRule="atLeast"/>
        </w:trPr>
        <w:tc>
          <w:tcPr>
            <w:tcW w:w="57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576"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57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2740" w:type="dxa"/>
            <w:vMerge w:val="continue"/>
            <w:tcBorders>
              <w:top w:val="nil"/>
              <w:left w:val="nil"/>
              <w:bottom w:val="single" w:color="auto"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1656" w:type="dxa"/>
            <w:vMerge w:val="continue"/>
            <w:tcBorders>
              <w:top w:val="nil"/>
              <w:left w:val="single" w:color="auto" w:sz="4" w:space="0"/>
              <w:bottom w:val="single" w:color="auto" w:sz="4" w:space="0"/>
              <w:right w:val="nil"/>
            </w:tcBorders>
            <w:vAlign w:val="center"/>
          </w:tcPr>
          <w:p>
            <w:pPr>
              <w:widowControl/>
              <w:adjustRightInd w:val="0"/>
              <w:snapToGrid w:val="0"/>
              <w:spacing w:line="600" w:lineRule="exact"/>
              <w:jc w:val="left"/>
              <w:rPr>
                <w:rFonts w:ascii="宋体" w:hAnsi="宋体" w:cs="宋体"/>
                <w:kern w:val="0"/>
                <w:sz w:val="18"/>
                <w:szCs w:val="18"/>
              </w:rPr>
            </w:pPr>
          </w:p>
        </w:tc>
        <w:tc>
          <w:tcPr>
            <w:tcW w:w="1199"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1199"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94"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w:t>
            </w:r>
          </w:p>
        </w:tc>
        <w:tc>
          <w:tcPr>
            <w:tcW w:w="576" w:type="dxa"/>
            <w:tcBorders>
              <w:top w:val="nil"/>
              <w:left w:val="nil"/>
              <w:bottom w:val="nil"/>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w:t>
            </w:r>
          </w:p>
        </w:tc>
        <w:tc>
          <w:tcPr>
            <w:tcW w:w="576" w:type="dxa"/>
            <w:tcBorders>
              <w:top w:val="single" w:color="auto" w:sz="4" w:space="0"/>
              <w:left w:val="nil"/>
              <w:bottom w:val="nil"/>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w:t>
            </w:r>
          </w:p>
        </w:tc>
        <w:tc>
          <w:tcPr>
            <w:tcW w:w="2740" w:type="dxa"/>
            <w:tcBorders>
              <w:top w:val="nil"/>
              <w:left w:val="nil"/>
              <w:bottom w:val="nil"/>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w:t>
            </w:r>
          </w:p>
        </w:tc>
        <w:tc>
          <w:tcPr>
            <w:tcW w:w="1656" w:type="dxa"/>
            <w:tcBorders>
              <w:top w:val="nil"/>
              <w:left w:val="nil"/>
              <w:bottom w:val="nil"/>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1</w:t>
            </w:r>
          </w:p>
        </w:tc>
        <w:tc>
          <w:tcPr>
            <w:tcW w:w="1199" w:type="dxa"/>
            <w:tcBorders>
              <w:top w:val="nil"/>
              <w:left w:val="nil"/>
              <w:bottom w:val="nil"/>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2</w:t>
            </w:r>
          </w:p>
        </w:tc>
        <w:tc>
          <w:tcPr>
            <w:tcW w:w="1199" w:type="dxa"/>
            <w:tcBorders>
              <w:top w:val="nil"/>
              <w:left w:val="nil"/>
              <w:bottom w:val="nil"/>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3</w:t>
            </w:r>
          </w:p>
        </w:tc>
      </w:tr>
      <w:tr>
        <w:tblPrEx>
          <w:tblLayout w:type="fixed"/>
          <w:tblCellMar>
            <w:top w:w="0" w:type="dxa"/>
            <w:left w:w="108" w:type="dxa"/>
            <w:bottom w:w="0" w:type="dxa"/>
            <w:right w:w="108" w:type="dxa"/>
          </w:tblCellMar>
        </w:tblPrEx>
        <w:trPr>
          <w:trHeight w:val="360"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576" w:type="dxa"/>
            <w:tcBorders>
              <w:top w:val="single" w:color="auto" w:sz="4" w:space="0"/>
              <w:left w:val="nil"/>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576" w:type="dxa"/>
            <w:tcBorders>
              <w:top w:val="single" w:color="auto" w:sz="4" w:space="0"/>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2740" w:type="dxa"/>
            <w:tcBorders>
              <w:top w:val="single" w:color="auto" w:sz="4" w:space="0"/>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合计</w:t>
            </w: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842.08</w:t>
            </w:r>
          </w:p>
        </w:tc>
        <w:tc>
          <w:tcPr>
            <w:tcW w:w="1199" w:type="dxa"/>
            <w:tcBorders>
              <w:top w:val="single" w:color="auto" w:sz="4" w:space="0"/>
              <w:left w:val="nil"/>
              <w:bottom w:val="single" w:color="auto" w:sz="4" w:space="0"/>
              <w:right w:val="nil"/>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842.08</w:t>
            </w:r>
          </w:p>
        </w:tc>
        <w:tc>
          <w:tcPr>
            <w:tcW w:w="11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2740"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lang w:eastAsia="zh-CN"/>
              </w:rPr>
              <w:t>阜康市</w:t>
            </w:r>
            <w:r>
              <w:rPr>
                <w:rFonts w:hint="eastAsia" w:ascii="宋体" w:hAnsi="宋体" w:cs="宋体"/>
                <w:kern w:val="0"/>
                <w:sz w:val="18"/>
                <w:szCs w:val="18"/>
              </w:rPr>
              <w:t>税务局</w:t>
            </w:r>
          </w:p>
        </w:tc>
        <w:tc>
          <w:tcPr>
            <w:tcW w:w="165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842.08</w:t>
            </w:r>
          </w:p>
        </w:tc>
        <w:tc>
          <w:tcPr>
            <w:tcW w:w="1199"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842.08</w:t>
            </w:r>
          </w:p>
        </w:tc>
        <w:tc>
          <w:tcPr>
            <w:tcW w:w="119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201</w:t>
            </w:r>
          </w:p>
        </w:tc>
        <w:tc>
          <w:tcPr>
            <w:tcW w:w="576"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2740"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一般公共服务支出</w:t>
            </w:r>
          </w:p>
        </w:tc>
        <w:tc>
          <w:tcPr>
            <w:tcW w:w="165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642.77</w:t>
            </w:r>
          </w:p>
        </w:tc>
        <w:tc>
          <w:tcPr>
            <w:tcW w:w="1199"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642.77</w:t>
            </w:r>
          </w:p>
        </w:tc>
        <w:tc>
          <w:tcPr>
            <w:tcW w:w="119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07</w:t>
            </w:r>
          </w:p>
        </w:tc>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2740"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税收事务</w:t>
            </w:r>
          </w:p>
        </w:tc>
        <w:tc>
          <w:tcPr>
            <w:tcW w:w="165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642.77</w:t>
            </w:r>
          </w:p>
        </w:tc>
        <w:tc>
          <w:tcPr>
            <w:tcW w:w="1199"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642.77</w:t>
            </w:r>
          </w:p>
        </w:tc>
        <w:tc>
          <w:tcPr>
            <w:tcW w:w="119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xml:space="preserve">  201</w:t>
            </w:r>
          </w:p>
        </w:tc>
        <w:tc>
          <w:tcPr>
            <w:tcW w:w="576"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xml:space="preserve">  07</w:t>
            </w:r>
          </w:p>
        </w:tc>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01</w:t>
            </w:r>
          </w:p>
        </w:tc>
        <w:tc>
          <w:tcPr>
            <w:tcW w:w="2740"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行政运行</w:t>
            </w:r>
          </w:p>
        </w:tc>
        <w:tc>
          <w:tcPr>
            <w:tcW w:w="165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642.77</w:t>
            </w:r>
          </w:p>
        </w:tc>
        <w:tc>
          <w:tcPr>
            <w:tcW w:w="1199"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642.77</w:t>
            </w:r>
          </w:p>
        </w:tc>
        <w:tc>
          <w:tcPr>
            <w:tcW w:w="119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208</w:t>
            </w:r>
          </w:p>
        </w:tc>
        <w:tc>
          <w:tcPr>
            <w:tcW w:w="576"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2740"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社会保障和就业支出</w:t>
            </w:r>
          </w:p>
        </w:tc>
        <w:tc>
          <w:tcPr>
            <w:tcW w:w="165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199.31</w:t>
            </w:r>
          </w:p>
        </w:tc>
        <w:tc>
          <w:tcPr>
            <w:tcW w:w="1199"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199.31</w:t>
            </w:r>
          </w:p>
        </w:tc>
        <w:tc>
          <w:tcPr>
            <w:tcW w:w="119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05</w:t>
            </w:r>
          </w:p>
        </w:tc>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2740"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行政事业单位离退休</w:t>
            </w:r>
          </w:p>
        </w:tc>
        <w:tc>
          <w:tcPr>
            <w:tcW w:w="165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199.31</w:t>
            </w:r>
          </w:p>
        </w:tc>
        <w:tc>
          <w:tcPr>
            <w:tcW w:w="1199"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199.31</w:t>
            </w:r>
          </w:p>
        </w:tc>
        <w:tc>
          <w:tcPr>
            <w:tcW w:w="119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xml:space="preserve">  208</w:t>
            </w:r>
          </w:p>
        </w:tc>
        <w:tc>
          <w:tcPr>
            <w:tcW w:w="576"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xml:space="preserve">  05</w:t>
            </w:r>
          </w:p>
        </w:tc>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04</w:t>
            </w:r>
          </w:p>
        </w:tc>
        <w:tc>
          <w:tcPr>
            <w:tcW w:w="2740"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未归口管理的行政单位离退休</w:t>
            </w:r>
          </w:p>
        </w:tc>
        <w:tc>
          <w:tcPr>
            <w:tcW w:w="165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129.98</w:t>
            </w:r>
          </w:p>
        </w:tc>
        <w:tc>
          <w:tcPr>
            <w:tcW w:w="1199"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129.98</w:t>
            </w:r>
          </w:p>
        </w:tc>
        <w:tc>
          <w:tcPr>
            <w:tcW w:w="119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0"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xml:space="preserve">  208</w:t>
            </w:r>
          </w:p>
        </w:tc>
        <w:tc>
          <w:tcPr>
            <w:tcW w:w="576"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xml:space="preserve">  05</w:t>
            </w:r>
          </w:p>
        </w:tc>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05</w:t>
            </w:r>
          </w:p>
        </w:tc>
        <w:tc>
          <w:tcPr>
            <w:tcW w:w="2740"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机关事业单位基本养老保险缴费支出</w:t>
            </w:r>
          </w:p>
        </w:tc>
        <w:tc>
          <w:tcPr>
            <w:tcW w:w="165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69.33</w:t>
            </w:r>
          </w:p>
        </w:tc>
        <w:tc>
          <w:tcPr>
            <w:tcW w:w="1199"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69.33</w:t>
            </w:r>
          </w:p>
        </w:tc>
        <w:tc>
          <w:tcPr>
            <w:tcW w:w="1199"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bl>
    <w:p>
      <w:pPr>
        <w:widowControl/>
        <w:adjustRightInd w:val="0"/>
        <w:snapToGrid w:val="0"/>
        <w:spacing w:line="6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tbl>
      <w:tblPr>
        <w:tblStyle w:val="12"/>
        <w:tblW w:w="8522" w:type="dxa"/>
        <w:tblInd w:w="0" w:type="dxa"/>
        <w:tblLayout w:type="fixed"/>
        <w:tblCellMar>
          <w:top w:w="0" w:type="dxa"/>
          <w:left w:w="108" w:type="dxa"/>
          <w:bottom w:w="0" w:type="dxa"/>
          <w:right w:w="108" w:type="dxa"/>
        </w:tblCellMar>
      </w:tblPr>
      <w:tblGrid>
        <w:gridCol w:w="576"/>
        <w:gridCol w:w="576"/>
        <w:gridCol w:w="2999"/>
        <w:gridCol w:w="2016"/>
        <w:gridCol w:w="1177"/>
        <w:gridCol w:w="1178"/>
      </w:tblGrid>
      <w:tr>
        <w:tblPrEx>
          <w:tblLayout w:type="fixed"/>
          <w:tblCellMar>
            <w:top w:w="0" w:type="dxa"/>
            <w:left w:w="108" w:type="dxa"/>
            <w:bottom w:w="0" w:type="dxa"/>
            <w:right w:w="108" w:type="dxa"/>
          </w:tblCellMar>
        </w:tblPrEx>
        <w:trPr>
          <w:trHeight w:val="360" w:hRule="atLeast"/>
        </w:trPr>
        <w:tc>
          <w:tcPr>
            <w:tcW w:w="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项目</w:t>
            </w:r>
          </w:p>
        </w:tc>
        <w:tc>
          <w:tcPr>
            <w:tcW w:w="576" w:type="dxa"/>
            <w:tcBorders>
              <w:top w:val="single" w:color="auto" w:sz="4" w:space="0"/>
              <w:left w:val="nil"/>
              <w:bottom w:val="single" w:color="auto" w:sz="4" w:space="0"/>
              <w:right w:val="single" w:color="auto" w:sz="4" w:space="0"/>
            </w:tcBorders>
            <w:shd w:val="clear" w:color="auto" w:fill="auto"/>
            <w:vAlign w:val="bottom"/>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299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201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一般公共预算基本支出</w:t>
            </w:r>
          </w:p>
        </w:tc>
        <w:tc>
          <w:tcPr>
            <w:tcW w:w="117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17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1152"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经济分类科目编码</w:t>
            </w:r>
          </w:p>
        </w:tc>
        <w:tc>
          <w:tcPr>
            <w:tcW w:w="2999" w:type="dxa"/>
            <w:vMerge w:val="restart"/>
            <w:tcBorders>
              <w:top w:val="nil"/>
              <w:left w:val="nil"/>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经济分类科目名称</w:t>
            </w:r>
          </w:p>
        </w:tc>
        <w:tc>
          <w:tcPr>
            <w:tcW w:w="2016" w:type="dxa"/>
            <w:vMerge w:val="restart"/>
            <w:tcBorders>
              <w:top w:val="nil"/>
              <w:left w:val="single" w:color="auto" w:sz="4" w:space="0"/>
              <w:bottom w:val="single" w:color="auto" w:sz="4" w:space="0"/>
              <w:right w:val="single" w:color="000000"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总   计</w:t>
            </w:r>
          </w:p>
        </w:tc>
        <w:tc>
          <w:tcPr>
            <w:tcW w:w="1177" w:type="dxa"/>
            <w:vMerge w:val="restart"/>
            <w:tcBorders>
              <w:top w:val="nil"/>
              <w:left w:val="nil"/>
              <w:bottom w:val="single" w:color="000000"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人员经费</w:t>
            </w:r>
          </w:p>
        </w:tc>
        <w:tc>
          <w:tcPr>
            <w:tcW w:w="1178"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公用经费</w:t>
            </w:r>
          </w:p>
        </w:tc>
      </w:tr>
      <w:tr>
        <w:tblPrEx>
          <w:tblLayout w:type="fixed"/>
          <w:tblCellMar>
            <w:top w:w="0" w:type="dxa"/>
            <w:left w:w="108" w:type="dxa"/>
            <w:bottom w:w="0" w:type="dxa"/>
            <w:right w:w="108" w:type="dxa"/>
          </w:tblCellMar>
        </w:tblPrEx>
        <w:trPr>
          <w:trHeight w:val="600" w:hRule="atLeast"/>
        </w:trPr>
        <w:tc>
          <w:tcPr>
            <w:tcW w:w="1152"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adjustRightInd w:val="0"/>
              <w:snapToGrid w:val="0"/>
              <w:spacing w:line="600" w:lineRule="exact"/>
              <w:jc w:val="left"/>
              <w:rPr>
                <w:rFonts w:ascii="宋体" w:hAnsi="宋体" w:cs="宋体"/>
                <w:kern w:val="0"/>
                <w:sz w:val="18"/>
                <w:szCs w:val="18"/>
              </w:rPr>
            </w:pPr>
          </w:p>
        </w:tc>
        <w:tc>
          <w:tcPr>
            <w:tcW w:w="2999" w:type="dxa"/>
            <w:vMerge w:val="continue"/>
            <w:tcBorders>
              <w:top w:val="nil"/>
              <w:left w:val="nil"/>
              <w:bottom w:val="single" w:color="auto" w:sz="4" w:space="0"/>
              <w:right w:val="nil"/>
            </w:tcBorders>
            <w:vAlign w:val="center"/>
          </w:tcPr>
          <w:p>
            <w:pPr>
              <w:widowControl/>
              <w:adjustRightInd w:val="0"/>
              <w:snapToGrid w:val="0"/>
              <w:spacing w:line="600" w:lineRule="exact"/>
              <w:jc w:val="left"/>
              <w:rPr>
                <w:rFonts w:ascii="宋体" w:hAnsi="宋体" w:cs="宋体"/>
                <w:kern w:val="0"/>
                <w:sz w:val="18"/>
                <w:szCs w:val="18"/>
              </w:rPr>
            </w:pPr>
          </w:p>
        </w:tc>
        <w:tc>
          <w:tcPr>
            <w:tcW w:w="2016" w:type="dxa"/>
            <w:vMerge w:val="continue"/>
            <w:tcBorders>
              <w:top w:val="nil"/>
              <w:left w:val="single" w:color="auto" w:sz="4" w:space="0"/>
              <w:bottom w:val="single" w:color="auto" w:sz="4" w:space="0"/>
              <w:right w:val="single" w:color="000000" w:sz="4" w:space="0"/>
            </w:tcBorders>
            <w:vAlign w:val="center"/>
          </w:tcPr>
          <w:p>
            <w:pPr>
              <w:widowControl/>
              <w:adjustRightInd w:val="0"/>
              <w:snapToGrid w:val="0"/>
              <w:spacing w:line="600" w:lineRule="exact"/>
              <w:jc w:val="left"/>
              <w:rPr>
                <w:rFonts w:ascii="宋体" w:hAnsi="宋体" w:cs="宋体"/>
                <w:kern w:val="0"/>
                <w:sz w:val="18"/>
                <w:szCs w:val="18"/>
              </w:rPr>
            </w:pPr>
          </w:p>
        </w:tc>
        <w:tc>
          <w:tcPr>
            <w:tcW w:w="1177" w:type="dxa"/>
            <w:vMerge w:val="continue"/>
            <w:tcBorders>
              <w:top w:val="nil"/>
              <w:left w:val="nil"/>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1178"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94"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类</w:t>
            </w:r>
          </w:p>
        </w:tc>
        <w:tc>
          <w:tcPr>
            <w:tcW w:w="576" w:type="dxa"/>
            <w:tcBorders>
              <w:top w:val="nil"/>
              <w:left w:val="nil"/>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款</w:t>
            </w:r>
          </w:p>
        </w:tc>
        <w:tc>
          <w:tcPr>
            <w:tcW w:w="2999" w:type="dxa"/>
            <w:vMerge w:val="continue"/>
            <w:tcBorders>
              <w:top w:val="nil"/>
              <w:left w:val="nil"/>
              <w:bottom w:val="single" w:color="auto" w:sz="4" w:space="0"/>
              <w:right w:val="nil"/>
            </w:tcBorders>
            <w:vAlign w:val="center"/>
          </w:tcPr>
          <w:p>
            <w:pPr>
              <w:widowControl/>
              <w:adjustRightInd w:val="0"/>
              <w:snapToGrid w:val="0"/>
              <w:spacing w:line="600" w:lineRule="exact"/>
              <w:jc w:val="left"/>
              <w:rPr>
                <w:rFonts w:ascii="宋体" w:hAnsi="宋体" w:cs="宋体"/>
                <w:kern w:val="0"/>
                <w:sz w:val="18"/>
                <w:szCs w:val="18"/>
              </w:rPr>
            </w:pPr>
          </w:p>
        </w:tc>
        <w:tc>
          <w:tcPr>
            <w:tcW w:w="2016" w:type="dxa"/>
            <w:vMerge w:val="continue"/>
            <w:tcBorders>
              <w:top w:val="nil"/>
              <w:left w:val="single" w:color="auto" w:sz="4" w:space="0"/>
              <w:bottom w:val="single" w:color="auto" w:sz="4" w:space="0"/>
              <w:right w:val="single" w:color="000000" w:sz="4" w:space="0"/>
            </w:tcBorders>
            <w:vAlign w:val="center"/>
          </w:tcPr>
          <w:p>
            <w:pPr>
              <w:widowControl/>
              <w:adjustRightInd w:val="0"/>
              <w:snapToGrid w:val="0"/>
              <w:spacing w:line="600" w:lineRule="exact"/>
              <w:jc w:val="left"/>
              <w:rPr>
                <w:rFonts w:ascii="宋体" w:hAnsi="宋体" w:cs="宋体"/>
                <w:kern w:val="0"/>
                <w:sz w:val="18"/>
                <w:szCs w:val="18"/>
              </w:rPr>
            </w:pPr>
          </w:p>
        </w:tc>
        <w:tc>
          <w:tcPr>
            <w:tcW w:w="1177" w:type="dxa"/>
            <w:vMerge w:val="continue"/>
            <w:tcBorders>
              <w:top w:val="nil"/>
              <w:left w:val="nil"/>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1178"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75" w:hRule="atLeast"/>
        </w:trPr>
        <w:tc>
          <w:tcPr>
            <w:tcW w:w="576" w:type="dxa"/>
            <w:tcBorders>
              <w:top w:val="nil"/>
              <w:left w:val="single" w:color="auto" w:sz="4" w:space="0"/>
              <w:bottom w:val="nil"/>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w:t>
            </w:r>
          </w:p>
        </w:tc>
        <w:tc>
          <w:tcPr>
            <w:tcW w:w="576" w:type="dxa"/>
            <w:tcBorders>
              <w:top w:val="nil"/>
              <w:left w:val="nil"/>
              <w:bottom w:val="nil"/>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w:t>
            </w:r>
          </w:p>
        </w:tc>
        <w:tc>
          <w:tcPr>
            <w:tcW w:w="2999" w:type="dxa"/>
            <w:tcBorders>
              <w:top w:val="nil"/>
              <w:left w:val="nil"/>
              <w:bottom w:val="nil"/>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w:t>
            </w:r>
          </w:p>
        </w:tc>
        <w:tc>
          <w:tcPr>
            <w:tcW w:w="2016" w:type="dxa"/>
            <w:tcBorders>
              <w:top w:val="nil"/>
              <w:left w:val="nil"/>
              <w:bottom w:val="nil"/>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1</w:t>
            </w:r>
          </w:p>
        </w:tc>
        <w:tc>
          <w:tcPr>
            <w:tcW w:w="1177" w:type="dxa"/>
            <w:tcBorders>
              <w:top w:val="nil"/>
              <w:left w:val="nil"/>
              <w:bottom w:val="nil"/>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2</w:t>
            </w:r>
          </w:p>
        </w:tc>
        <w:tc>
          <w:tcPr>
            <w:tcW w:w="1178" w:type="dxa"/>
            <w:tcBorders>
              <w:top w:val="nil"/>
              <w:left w:val="nil"/>
              <w:bottom w:val="nil"/>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3</w:t>
            </w:r>
          </w:p>
        </w:tc>
      </w:tr>
      <w:tr>
        <w:tblPrEx>
          <w:tblLayout w:type="fixed"/>
          <w:tblCellMar>
            <w:top w:w="0" w:type="dxa"/>
            <w:left w:w="108" w:type="dxa"/>
            <w:bottom w:w="0" w:type="dxa"/>
            <w:right w:w="108" w:type="dxa"/>
          </w:tblCellMar>
        </w:tblPrEx>
        <w:trPr>
          <w:trHeight w:val="360" w:hRule="atLeast"/>
        </w:trPr>
        <w:tc>
          <w:tcPr>
            <w:tcW w:w="576" w:type="dxa"/>
            <w:tcBorders>
              <w:top w:val="single" w:color="auto" w:sz="4" w:space="0"/>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576" w:type="dxa"/>
            <w:tcBorders>
              <w:top w:val="single" w:color="auto" w:sz="4" w:space="0"/>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2999" w:type="dxa"/>
            <w:tcBorders>
              <w:top w:val="single" w:color="auto" w:sz="4" w:space="0"/>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合计</w:t>
            </w:r>
          </w:p>
        </w:tc>
        <w:tc>
          <w:tcPr>
            <w:tcW w:w="20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842.08</w:t>
            </w:r>
          </w:p>
        </w:tc>
        <w:tc>
          <w:tcPr>
            <w:tcW w:w="117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827.40</w:t>
            </w:r>
          </w:p>
        </w:tc>
        <w:tc>
          <w:tcPr>
            <w:tcW w:w="117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14.68</w:t>
            </w:r>
          </w:p>
        </w:tc>
      </w:tr>
      <w:tr>
        <w:tblPrEx>
          <w:tblLayout w:type="fixed"/>
          <w:tblCellMar>
            <w:top w:w="0" w:type="dxa"/>
            <w:left w:w="108" w:type="dxa"/>
            <w:bottom w:w="0" w:type="dxa"/>
            <w:right w:w="108" w:type="dxa"/>
          </w:tblCellMar>
        </w:tblPrEx>
        <w:trPr>
          <w:trHeight w:val="360" w:hRule="atLeast"/>
        </w:trPr>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2999"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lang w:eastAsia="zh-CN"/>
              </w:rPr>
              <w:t>阜康市</w:t>
            </w:r>
            <w:r>
              <w:rPr>
                <w:rFonts w:hint="eastAsia" w:ascii="宋体" w:hAnsi="宋体" w:cs="宋体"/>
                <w:kern w:val="0"/>
                <w:sz w:val="18"/>
                <w:szCs w:val="18"/>
              </w:rPr>
              <w:t>税务局</w:t>
            </w:r>
          </w:p>
        </w:tc>
        <w:tc>
          <w:tcPr>
            <w:tcW w:w="20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842.08</w:t>
            </w:r>
          </w:p>
        </w:tc>
        <w:tc>
          <w:tcPr>
            <w:tcW w:w="117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827.40</w:t>
            </w:r>
          </w:p>
        </w:tc>
        <w:tc>
          <w:tcPr>
            <w:tcW w:w="11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14.68</w:t>
            </w:r>
          </w:p>
        </w:tc>
      </w:tr>
      <w:tr>
        <w:tblPrEx>
          <w:tblLayout w:type="fixed"/>
          <w:tblCellMar>
            <w:top w:w="0" w:type="dxa"/>
            <w:left w:w="108" w:type="dxa"/>
            <w:bottom w:w="0" w:type="dxa"/>
            <w:right w:w="108" w:type="dxa"/>
          </w:tblCellMar>
        </w:tblPrEx>
        <w:trPr>
          <w:trHeight w:val="360" w:hRule="atLeast"/>
        </w:trPr>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301</w:t>
            </w:r>
          </w:p>
        </w:tc>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2999"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工资福利支出</w:t>
            </w:r>
          </w:p>
        </w:tc>
        <w:tc>
          <w:tcPr>
            <w:tcW w:w="20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697.42</w:t>
            </w:r>
          </w:p>
        </w:tc>
        <w:tc>
          <w:tcPr>
            <w:tcW w:w="117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697.42</w:t>
            </w:r>
          </w:p>
        </w:tc>
        <w:tc>
          <w:tcPr>
            <w:tcW w:w="11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60" w:hRule="atLeast"/>
        </w:trPr>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xml:space="preserve">  301</w:t>
            </w:r>
          </w:p>
        </w:tc>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02</w:t>
            </w:r>
          </w:p>
        </w:tc>
        <w:tc>
          <w:tcPr>
            <w:tcW w:w="2999"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津贴补贴</w:t>
            </w:r>
          </w:p>
        </w:tc>
        <w:tc>
          <w:tcPr>
            <w:tcW w:w="20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482.25</w:t>
            </w:r>
          </w:p>
        </w:tc>
        <w:tc>
          <w:tcPr>
            <w:tcW w:w="117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482.25</w:t>
            </w:r>
          </w:p>
        </w:tc>
        <w:tc>
          <w:tcPr>
            <w:tcW w:w="11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60" w:hRule="atLeast"/>
        </w:trPr>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xml:space="preserve">  301</w:t>
            </w:r>
          </w:p>
        </w:tc>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08</w:t>
            </w:r>
          </w:p>
        </w:tc>
        <w:tc>
          <w:tcPr>
            <w:tcW w:w="2999"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机关事业单位基本养老保险缴费</w:t>
            </w:r>
          </w:p>
        </w:tc>
        <w:tc>
          <w:tcPr>
            <w:tcW w:w="20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69.33</w:t>
            </w:r>
          </w:p>
        </w:tc>
        <w:tc>
          <w:tcPr>
            <w:tcW w:w="117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69.33</w:t>
            </w:r>
          </w:p>
        </w:tc>
        <w:tc>
          <w:tcPr>
            <w:tcW w:w="11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60" w:hRule="atLeast"/>
        </w:trPr>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xml:space="preserve">  301</w:t>
            </w:r>
          </w:p>
        </w:tc>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10</w:t>
            </w:r>
          </w:p>
        </w:tc>
        <w:tc>
          <w:tcPr>
            <w:tcW w:w="2999"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职工基本医疗保险缴费</w:t>
            </w:r>
          </w:p>
        </w:tc>
        <w:tc>
          <w:tcPr>
            <w:tcW w:w="20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43.40</w:t>
            </w:r>
          </w:p>
        </w:tc>
        <w:tc>
          <w:tcPr>
            <w:tcW w:w="117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43.40</w:t>
            </w:r>
          </w:p>
        </w:tc>
        <w:tc>
          <w:tcPr>
            <w:tcW w:w="11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60" w:hRule="atLeast"/>
        </w:trPr>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xml:space="preserve">  301</w:t>
            </w:r>
          </w:p>
        </w:tc>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11</w:t>
            </w:r>
          </w:p>
        </w:tc>
        <w:tc>
          <w:tcPr>
            <w:tcW w:w="2999"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公务员医疗补助缴费</w:t>
            </w:r>
          </w:p>
        </w:tc>
        <w:tc>
          <w:tcPr>
            <w:tcW w:w="20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33.76</w:t>
            </w:r>
          </w:p>
        </w:tc>
        <w:tc>
          <w:tcPr>
            <w:tcW w:w="117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33.76</w:t>
            </w:r>
          </w:p>
        </w:tc>
        <w:tc>
          <w:tcPr>
            <w:tcW w:w="11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60" w:hRule="atLeast"/>
        </w:trPr>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xml:space="preserve">  301</w:t>
            </w:r>
          </w:p>
        </w:tc>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12</w:t>
            </w:r>
          </w:p>
        </w:tc>
        <w:tc>
          <w:tcPr>
            <w:tcW w:w="2999"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其他社会保障缴费</w:t>
            </w:r>
          </w:p>
        </w:tc>
        <w:tc>
          <w:tcPr>
            <w:tcW w:w="20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0.41</w:t>
            </w:r>
          </w:p>
        </w:tc>
        <w:tc>
          <w:tcPr>
            <w:tcW w:w="117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0.41</w:t>
            </w:r>
          </w:p>
        </w:tc>
        <w:tc>
          <w:tcPr>
            <w:tcW w:w="11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60" w:hRule="atLeast"/>
        </w:trPr>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xml:space="preserve">  301</w:t>
            </w:r>
          </w:p>
        </w:tc>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13</w:t>
            </w:r>
          </w:p>
        </w:tc>
        <w:tc>
          <w:tcPr>
            <w:tcW w:w="2999"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住房公积金</w:t>
            </w:r>
          </w:p>
        </w:tc>
        <w:tc>
          <w:tcPr>
            <w:tcW w:w="20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57.87</w:t>
            </w:r>
          </w:p>
        </w:tc>
        <w:tc>
          <w:tcPr>
            <w:tcW w:w="117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57.87</w:t>
            </w:r>
          </w:p>
        </w:tc>
        <w:tc>
          <w:tcPr>
            <w:tcW w:w="11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60" w:hRule="atLeast"/>
        </w:trPr>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xml:space="preserve">  301</w:t>
            </w:r>
          </w:p>
        </w:tc>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99</w:t>
            </w:r>
          </w:p>
        </w:tc>
        <w:tc>
          <w:tcPr>
            <w:tcW w:w="2999"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其他工资福利支出</w:t>
            </w:r>
          </w:p>
        </w:tc>
        <w:tc>
          <w:tcPr>
            <w:tcW w:w="20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10.40</w:t>
            </w:r>
          </w:p>
        </w:tc>
        <w:tc>
          <w:tcPr>
            <w:tcW w:w="117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10.40</w:t>
            </w:r>
          </w:p>
        </w:tc>
        <w:tc>
          <w:tcPr>
            <w:tcW w:w="11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60" w:hRule="atLeast"/>
        </w:trPr>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302</w:t>
            </w:r>
          </w:p>
        </w:tc>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2999"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商品和服务支出</w:t>
            </w:r>
          </w:p>
        </w:tc>
        <w:tc>
          <w:tcPr>
            <w:tcW w:w="20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14.68</w:t>
            </w:r>
          </w:p>
        </w:tc>
        <w:tc>
          <w:tcPr>
            <w:tcW w:w="117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1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14.68</w:t>
            </w:r>
          </w:p>
        </w:tc>
      </w:tr>
      <w:tr>
        <w:tblPrEx>
          <w:tblLayout w:type="fixed"/>
          <w:tblCellMar>
            <w:top w:w="0" w:type="dxa"/>
            <w:left w:w="108" w:type="dxa"/>
            <w:bottom w:w="0" w:type="dxa"/>
            <w:right w:w="108" w:type="dxa"/>
          </w:tblCellMar>
        </w:tblPrEx>
        <w:trPr>
          <w:trHeight w:val="360" w:hRule="atLeast"/>
        </w:trPr>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xml:space="preserve">  302</w:t>
            </w:r>
          </w:p>
        </w:tc>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08</w:t>
            </w:r>
          </w:p>
        </w:tc>
        <w:tc>
          <w:tcPr>
            <w:tcW w:w="2999"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取暖费</w:t>
            </w:r>
          </w:p>
        </w:tc>
        <w:tc>
          <w:tcPr>
            <w:tcW w:w="20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14.68</w:t>
            </w:r>
          </w:p>
        </w:tc>
        <w:tc>
          <w:tcPr>
            <w:tcW w:w="117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1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14.68</w:t>
            </w:r>
          </w:p>
        </w:tc>
      </w:tr>
      <w:tr>
        <w:tblPrEx>
          <w:tblLayout w:type="fixed"/>
          <w:tblCellMar>
            <w:top w:w="0" w:type="dxa"/>
            <w:left w:w="108" w:type="dxa"/>
            <w:bottom w:w="0" w:type="dxa"/>
            <w:right w:w="108" w:type="dxa"/>
          </w:tblCellMar>
        </w:tblPrEx>
        <w:trPr>
          <w:trHeight w:val="360" w:hRule="atLeast"/>
        </w:trPr>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303</w:t>
            </w:r>
          </w:p>
        </w:tc>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2999"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对个人和家庭的补助</w:t>
            </w:r>
          </w:p>
        </w:tc>
        <w:tc>
          <w:tcPr>
            <w:tcW w:w="20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129.98</w:t>
            </w:r>
          </w:p>
        </w:tc>
        <w:tc>
          <w:tcPr>
            <w:tcW w:w="117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129.98</w:t>
            </w:r>
          </w:p>
        </w:tc>
        <w:tc>
          <w:tcPr>
            <w:tcW w:w="11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60" w:hRule="atLeast"/>
        </w:trPr>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xml:space="preserve">  303</w:t>
            </w:r>
          </w:p>
        </w:tc>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05</w:t>
            </w:r>
          </w:p>
        </w:tc>
        <w:tc>
          <w:tcPr>
            <w:tcW w:w="2999"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生活补助</w:t>
            </w:r>
          </w:p>
        </w:tc>
        <w:tc>
          <w:tcPr>
            <w:tcW w:w="20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50.40</w:t>
            </w:r>
          </w:p>
        </w:tc>
        <w:tc>
          <w:tcPr>
            <w:tcW w:w="117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50.40</w:t>
            </w:r>
          </w:p>
        </w:tc>
        <w:tc>
          <w:tcPr>
            <w:tcW w:w="11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60" w:hRule="atLeast"/>
        </w:trPr>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xml:space="preserve">  303</w:t>
            </w:r>
          </w:p>
        </w:tc>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07</w:t>
            </w:r>
          </w:p>
        </w:tc>
        <w:tc>
          <w:tcPr>
            <w:tcW w:w="2999"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医疗费补助</w:t>
            </w:r>
          </w:p>
        </w:tc>
        <w:tc>
          <w:tcPr>
            <w:tcW w:w="20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71.63</w:t>
            </w:r>
          </w:p>
        </w:tc>
        <w:tc>
          <w:tcPr>
            <w:tcW w:w="117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71.63</w:t>
            </w:r>
          </w:p>
        </w:tc>
        <w:tc>
          <w:tcPr>
            <w:tcW w:w="11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60" w:hRule="atLeast"/>
        </w:trPr>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xml:space="preserve">  303</w:t>
            </w:r>
          </w:p>
        </w:tc>
        <w:tc>
          <w:tcPr>
            <w:tcW w:w="576"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99</w:t>
            </w:r>
          </w:p>
        </w:tc>
        <w:tc>
          <w:tcPr>
            <w:tcW w:w="2999" w:type="dxa"/>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xml:space="preserve">    其他对个人和家庭的补助支出</w:t>
            </w:r>
          </w:p>
        </w:tc>
        <w:tc>
          <w:tcPr>
            <w:tcW w:w="20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7.95</w:t>
            </w:r>
          </w:p>
        </w:tc>
        <w:tc>
          <w:tcPr>
            <w:tcW w:w="117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7.95</w:t>
            </w:r>
          </w:p>
        </w:tc>
        <w:tc>
          <w:tcPr>
            <w:tcW w:w="11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0.00</w:t>
            </w:r>
          </w:p>
        </w:tc>
      </w:tr>
    </w:tbl>
    <w:p>
      <w:pPr>
        <w:widowControl/>
        <w:adjustRightInd w:val="0"/>
        <w:snapToGrid w:val="0"/>
        <w:spacing w:line="6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七、</w:t>
      </w:r>
      <w:r>
        <w:rPr>
          <w:rFonts w:hint="eastAsia" w:ascii="仿宋_GB2312" w:hAnsi="宋体" w:eastAsia="仿宋_GB2312"/>
          <w:bCs/>
          <w:kern w:val="0"/>
          <w:sz w:val="32"/>
          <w:szCs w:val="32"/>
        </w:rPr>
        <w:t>项目支出情况表</w:t>
      </w:r>
    </w:p>
    <w:tbl>
      <w:tblPr>
        <w:tblStyle w:val="12"/>
        <w:tblW w:w="9036" w:type="dxa"/>
        <w:tblInd w:w="0" w:type="dxa"/>
        <w:tblLayout w:type="fixed"/>
        <w:tblCellMar>
          <w:top w:w="0" w:type="dxa"/>
          <w:left w:w="108" w:type="dxa"/>
          <w:bottom w:w="0" w:type="dxa"/>
          <w:right w:w="108" w:type="dxa"/>
        </w:tblCellMar>
      </w:tblPr>
      <w:tblGrid>
        <w:gridCol w:w="576"/>
        <w:gridCol w:w="576"/>
        <w:gridCol w:w="576"/>
        <w:gridCol w:w="1656"/>
        <w:gridCol w:w="936"/>
        <w:gridCol w:w="396"/>
        <w:gridCol w:w="396"/>
        <w:gridCol w:w="396"/>
        <w:gridCol w:w="396"/>
        <w:gridCol w:w="396"/>
        <w:gridCol w:w="576"/>
        <w:gridCol w:w="396"/>
        <w:gridCol w:w="576"/>
        <w:gridCol w:w="396"/>
        <w:gridCol w:w="396"/>
        <w:gridCol w:w="396"/>
      </w:tblGrid>
      <w:tr>
        <w:tblPrEx>
          <w:tblLayout w:type="fixed"/>
          <w:tblCellMar>
            <w:top w:w="0" w:type="dxa"/>
            <w:left w:w="108" w:type="dxa"/>
            <w:bottom w:w="0" w:type="dxa"/>
            <w:right w:w="108" w:type="dxa"/>
          </w:tblCellMar>
        </w:tblPrEx>
        <w:trPr>
          <w:trHeight w:val="580" w:hRule="atLeast"/>
        </w:trPr>
        <w:tc>
          <w:tcPr>
            <w:tcW w:w="172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功能分类科目编码</w:t>
            </w:r>
          </w:p>
        </w:tc>
        <w:tc>
          <w:tcPr>
            <w:tcW w:w="1656" w:type="dxa"/>
            <w:vMerge w:val="restar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功能分类科目名称</w:t>
            </w:r>
          </w:p>
        </w:tc>
        <w:tc>
          <w:tcPr>
            <w:tcW w:w="93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项目名称</w:t>
            </w:r>
          </w:p>
        </w:tc>
        <w:tc>
          <w:tcPr>
            <w:tcW w:w="39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项目支出合计</w:t>
            </w:r>
          </w:p>
        </w:tc>
        <w:tc>
          <w:tcPr>
            <w:tcW w:w="39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工资福利支出</w:t>
            </w:r>
          </w:p>
        </w:tc>
        <w:tc>
          <w:tcPr>
            <w:tcW w:w="39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商品和服务支出</w:t>
            </w:r>
          </w:p>
        </w:tc>
        <w:tc>
          <w:tcPr>
            <w:tcW w:w="39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对个人和家庭的补助支出</w:t>
            </w:r>
          </w:p>
        </w:tc>
        <w:tc>
          <w:tcPr>
            <w:tcW w:w="39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债务利息及费用支出</w:t>
            </w:r>
          </w:p>
        </w:tc>
        <w:tc>
          <w:tcPr>
            <w:tcW w:w="57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资本性支出（基本建设）</w:t>
            </w:r>
          </w:p>
        </w:tc>
        <w:tc>
          <w:tcPr>
            <w:tcW w:w="39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资本性支出</w:t>
            </w:r>
          </w:p>
        </w:tc>
        <w:tc>
          <w:tcPr>
            <w:tcW w:w="57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对企业补助（基本建设）</w:t>
            </w:r>
          </w:p>
        </w:tc>
        <w:tc>
          <w:tcPr>
            <w:tcW w:w="39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对企业补助</w:t>
            </w:r>
          </w:p>
        </w:tc>
        <w:tc>
          <w:tcPr>
            <w:tcW w:w="39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对社会保障基金补助</w:t>
            </w:r>
          </w:p>
        </w:tc>
        <w:tc>
          <w:tcPr>
            <w:tcW w:w="39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其他支出</w:t>
            </w:r>
          </w:p>
        </w:tc>
      </w:tr>
      <w:tr>
        <w:tblPrEx>
          <w:tblLayout w:type="fixed"/>
          <w:tblCellMar>
            <w:top w:w="0" w:type="dxa"/>
            <w:left w:w="108" w:type="dxa"/>
            <w:bottom w:w="0" w:type="dxa"/>
            <w:right w:w="108" w:type="dxa"/>
          </w:tblCellMar>
        </w:tblPrEx>
        <w:trPr>
          <w:trHeight w:val="600" w:hRule="atLeast"/>
        </w:trPr>
        <w:tc>
          <w:tcPr>
            <w:tcW w:w="576"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类</w:t>
            </w:r>
          </w:p>
        </w:tc>
        <w:tc>
          <w:tcPr>
            <w:tcW w:w="576"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款</w:t>
            </w:r>
          </w:p>
        </w:tc>
        <w:tc>
          <w:tcPr>
            <w:tcW w:w="576"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项</w:t>
            </w:r>
          </w:p>
        </w:tc>
        <w:tc>
          <w:tcPr>
            <w:tcW w:w="1656" w:type="dxa"/>
            <w:vMerge w:val="continue"/>
            <w:tcBorders>
              <w:top w:val="single" w:color="auto" w:sz="4" w:space="0"/>
              <w:left w:val="nil"/>
              <w:bottom w:val="single" w:color="auto"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936"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396"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396"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396"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396"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396"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576"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396"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576"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396"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396"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396"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600" w:hRule="atLeast"/>
        </w:trPr>
        <w:tc>
          <w:tcPr>
            <w:tcW w:w="57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576"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57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1656" w:type="dxa"/>
            <w:vMerge w:val="continue"/>
            <w:tcBorders>
              <w:top w:val="single" w:color="auto" w:sz="4" w:space="0"/>
              <w:left w:val="nil"/>
              <w:bottom w:val="single" w:color="auto"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936"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396"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396"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396"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396"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396"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576"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396"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576"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396"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396"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396"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429" w:hRule="atLeast"/>
        </w:trPr>
        <w:tc>
          <w:tcPr>
            <w:tcW w:w="576"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w:t>
            </w:r>
          </w:p>
        </w:tc>
        <w:tc>
          <w:tcPr>
            <w:tcW w:w="576" w:type="dxa"/>
            <w:tcBorders>
              <w:top w:val="nil"/>
              <w:left w:val="nil"/>
              <w:bottom w:val="nil"/>
              <w:right w:val="single" w:color="auto" w:sz="4" w:space="0"/>
            </w:tcBorders>
            <w:shd w:val="clear" w:color="000000" w:fill="FFFFFF"/>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w:t>
            </w:r>
          </w:p>
        </w:tc>
        <w:tc>
          <w:tcPr>
            <w:tcW w:w="576" w:type="dxa"/>
            <w:tcBorders>
              <w:top w:val="single" w:color="auto" w:sz="4" w:space="0"/>
              <w:left w:val="nil"/>
              <w:bottom w:val="nil"/>
              <w:right w:val="single" w:color="auto" w:sz="4" w:space="0"/>
            </w:tcBorders>
            <w:shd w:val="clear" w:color="000000" w:fill="FFFFFF"/>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w:t>
            </w:r>
          </w:p>
        </w:tc>
        <w:tc>
          <w:tcPr>
            <w:tcW w:w="1656" w:type="dxa"/>
            <w:tcBorders>
              <w:top w:val="nil"/>
              <w:left w:val="nil"/>
              <w:bottom w:val="nil"/>
              <w:right w:val="single" w:color="auto" w:sz="4" w:space="0"/>
            </w:tcBorders>
            <w:shd w:val="clear" w:color="000000" w:fill="FFFFFF"/>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w:t>
            </w:r>
          </w:p>
        </w:tc>
        <w:tc>
          <w:tcPr>
            <w:tcW w:w="936" w:type="dxa"/>
            <w:tcBorders>
              <w:top w:val="nil"/>
              <w:left w:val="nil"/>
              <w:bottom w:val="nil"/>
              <w:right w:val="single" w:color="auto" w:sz="4" w:space="0"/>
            </w:tcBorders>
            <w:shd w:val="clear" w:color="000000" w:fill="FFFFFF"/>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w:t>
            </w:r>
          </w:p>
        </w:tc>
        <w:tc>
          <w:tcPr>
            <w:tcW w:w="396" w:type="dxa"/>
            <w:tcBorders>
              <w:top w:val="nil"/>
              <w:left w:val="nil"/>
              <w:bottom w:val="nil"/>
              <w:right w:val="single" w:color="auto" w:sz="4" w:space="0"/>
            </w:tcBorders>
            <w:shd w:val="clear" w:color="000000" w:fill="FFFFFF"/>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1</w:t>
            </w:r>
          </w:p>
        </w:tc>
        <w:tc>
          <w:tcPr>
            <w:tcW w:w="396"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2</w:t>
            </w:r>
          </w:p>
        </w:tc>
        <w:tc>
          <w:tcPr>
            <w:tcW w:w="396"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3</w:t>
            </w:r>
          </w:p>
        </w:tc>
        <w:tc>
          <w:tcPr>
            <w:tcW w:w="396"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4</w:t>
            </w:r>
          </w:p>
        </w:tc>
        <w:tc>
          <w:tcPr>
            <w:tcW w:w="396"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5</w:t>
            </w:r>
          </w:p>
        </w:tc>
        <w:tc>
          <w:tcPr>
            <w:tcW w:w="576"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6</w:t>
            </w:r>
          </w:p>
        </w:tc>
        <w:tc>
          <w:tcPr>
            <w:tcW w:w="396"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7</w:t>
            </w:r>
          </w:p>
        </w:tc>
        <w:tc>
          <w:tcPr>
            <w:tcW w:w="576"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8</w:t>
            </w:r>
          </w:p>
        </w:tc>
        <w:tc>
          <w:tcPr>
            <w:tcW w:w="396"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9</w:t>
            </w:r>
          </w:p>
        </w:tc>
        <w:tc>
          <w:tcPr>
            <w:tcW w:w="396"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10</w:t>
            </w:r>
          </w:p>
        </w:tc>
        <w:tc>
          <w:tcPr>
            <w:tcW w:w="396"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11</w:t>
            </w:r>
          </w:p>
        </w:tc>
      </w:tr>
      <w:tr>
        <w:tblPrEx>
          <w:tblLayout w:type="fixed"/>
          <w:tblCellMar>
            <w:top w:w="0" w:type="dxa"/>
            <w:left w:w="108" w:type="dxa"/>
            <w:bottom w:w="0" w:type="dxa"/>
            <w:right w:w="108" w:type="dxa"/>
          </w:tblCellMar>
        </w:tblPrEx>
        <w:trPr>
          <w:trHeight w:val="429"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57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57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165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93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39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39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bl>
    <w:p>
      <w:pPr>
        <w:widowControl/>
        <w:adjustRightInd w:val="0"/>
        <w:snapToGrid w:val="0"/>
        <w:spacing w:line="600" w:lineRule="exact"/>
        <w:outlineLvl w:val="1"/>
        <w:rPr>
          <w:rFonts w:hint="eastAsia" w:ascii="仿宋_GB2312" w:hAnsi="宋体" w:eastAsia="仿宋_GB2312"/>
          <w:kern w:val="0"/>
          <w:sz w:val="32"/>
          <w:szCs w:val="32"/>
          <w:lang w:val="en-US" w:eastAsia="zh-CN"/>
        </w:rPr>
      </w:pPr>
      <w:r>
        <w:rPr>
          <w:rFonts w:hint="eastAsia" w:ascii="仿宋_GB2312" w:hAnsi="宋体" w:eastAsia="仿宋_GB2312" w:cs="宋体"/>
          <w:kern w:val="0"/>
          <w:sz w:val="32"/>
          <w:szCs w:val="32"/>
        </w:rPr>
        <w:t>根据国家财政部、税务总局制定的《税务部门经费保障实施办法》，2019年自治区财政仅安排由财政保障的人员预算，故本表为空表</w:t>
      </w:r>
      <w:r>
        <w:rPr>
          <w:rFonts w:hint="eastAsia" w:ascii="仿宋_GB2312" w:hAnsi="宋体" w:eastAsia="仿宋_GB2312" w:cs="宋体"/>
          <w:kern w:val="0"/>
          <w:sz w:val="32"/>
          <w:szCs w:val="32"/>
          <w:lang w:eastAsia="zh-CN"/>
        </w:rPr>
        <w:t>。</w:t>
      </w:r>
    </w:p>
    <w:p>
      <w:pPr>
        <w:widowControl/>
        <w:adjustRightInd w:val="0"/>
        <w:snapToGrid w:val="0"/>
        <w:spacing w:line="6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tbl>
      <w:tblPr>
        <w:tblStyle w:val="12"/>
        <w:tblW w:w="8522" w:type="dxa"/>
        <w:tblInd w:w="0" w:type="dxa"/>
        <w:tblLayout w:type="fixed"/>
        <w:tblCellMar>
          <w:top w:w="0" w:type="dxa"/>
          <w:left w:w="108" w:type="dxa"/>
          <w:bottom w:w="0" w:type="dxa"/>
          <w:right w:w="108" w:type="dxa"/>
        </w:tblCellMar>
      </w:tblPr>
      <w:tblGrid>
        <w:gridCol w:w="2394"/>
        <w:gridCol w:w="1286"/>
        <w:gridCol w:w="924"/>
        <w:gridCol w:w="934"/>
        <w:gridCol w:w="934"/>
        <w:gridCol w:w="934"/>
        <w:gridCol w:w="1116"/>
      </w:tblGrid>
      <w:tr>
        <w:tblPrEx>
          <w:tblLayout w:type="fixed"/>
          <w:tblCellMar>
            <w:top w:w="0" w:type="dxa"/>
            <w:left w:w="108" w:type="dxa"/>
            <w:bottom w:w="0" w:type="dxa"/>
            <w:right w:w="108" w:type="dxa"/>
          </w:tblCellMar>
        </w:tblPrEx>
        <w:trPr>
          <w:trHeight w:val="600" w:hRule="atLeast"/>
        </w:trPr>
        <w:tc>
          <w:tcPr>
            <w:tcW w:w="23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xml:space="preserve">单  位 </w:t>
            </w:r>
          </w:p>
        </w:tc>
        <w:tc>
          <w:tcPr>
            <w:tcW w:w="128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合计</w:t>
            </w:r>
          </w:p>
        </w:tc>
        <w:tc>
          <w:tcPr>
            <w:tcW w:w="924" w:type="dxa"/>
            <w:vMerge w:val="restart"/>
            <w:tcBorders>
              <w:top w:val="single" w:color="auto" w:sz="4" w:space="0"/>
              <w:left w:val="single" w:color="auto" w:sz="4" w:space="0"/>
              <w:bottom w:val="single" w:color="000000"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因公出国（境）费</w:t>
            </w:r>
          </w:p>
        </w:tc>
        <w:tc>
          <w:tcPr>
            <w:tcW w:w="2802" w:type="dxa"/>
            <w:gridSpan w:val="3"/>
            <w:vMerge w:val="restart"/>
            <w:tcBorders>
              <w:top w:val="single" w:color="auto" w:sz="4" w:space="0"/>
              <w:left w:val="single" w:color="000000" w:sz="4" w:space="0"/>
              <w:bottom w:val="single" w:color="000000"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公务用车购置及运行费</w:t>
            </w:r>
          </w:p>
        </w:tc>
        <w:tc>
          <w:tcPr>
            <w:tcW w:w="111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公务接待费</w:t>
            </w:r>
          </w:p>
        </w:tc>
      </w:tr>
      <w:tr>
        <w:tblPrEx>
          <w:tblLayout w:type="fixed"/>
          <w:tblCellMar>
            <w:top w:w="0" w:type="dxa"/>
            <w:left w:w="108" w:type="dxa"/>
            <w:bottom w:w="0" w:type="dxa"/>
            <w:right w:w="108" w:type="dxa"/>
          </w:tblCellMar>
        </w:tblPrEx>
        <w:trPr>
          <w:trHeight w:val="600" w:hRule="atLeast"/>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1286"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924" w:type="dxa"/>
            <w:vMerge w:val="continue"/>
            <w:tcBorders>
              <w:top w:val="single" w:color="auto" w:sz="4" w:space="0"/>
              <w:left w:val="single" w:color="auto" w:sz="4" w:space="0"/>
              <w:bottom w:val="single" w:color="000000" w:sz="4" w:space="0"/>
              <w:right w:val="nil"/>
            </w:tcBorders>
            <w:vAlign w:val="center"/>
          </w:tcPr>
          <w:p>
            <w:pPr>
              <w:widowControl/>
              <w:adjustRightInd w:val="0"/>
              <w:snapToGrid w:val="0"/>
              <w:spacing w:line="600" w:lineRule="exact"/>
              <w:jc w:val="left"/>
              <w:rPr>
                <w:rFonts w:ascii="宋体" w:hAnsi="宋体" w:cs="宋体"/>
                <w:kern w:val="0"/>
                <w:sz w:val="18"/>
                <w:szCs w:val="18"/>
              </w:rPr>
            </w:pPr>
          </w:p>
        </w:tc>
        <w:tc>
          <w:tcPr>
            <w:tcW w:w="2802" w:type="dxa"/>
            <w:gridSpan w:val="3"/>
            <w:vMerge w:val="continue"/>
            <w:tcBorders>
              <w:top w:val="single" w:color="auto" w:sz="4" w:space="0"/>
              <w:left w:val="single" w:color="000000"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1116"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60" w:hRule="atLeast"/>
        </w:trPr>
        <w:tc>
          <w:tcPr>
            <w:tcW w:w="239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1286"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924" w:type="dxa"/>
            <w:vMerge w:val="continue"/>
            <w:tcBorders>
              <w:top w:val="single" w:color="auto" w:sz="4" w:space="0"/>
              <w:left w:val="single" w:color="auto" w:sz="4" w:space="0"/>
              <w:bottom w:val="single" w:color="000000" w:sz="4" w:space="0"/>
              <w:right w:val="nil"/>
            </w:tcBorders>
            <w:vAlign w:val="center"/>
          </w:tcPr>
          <w:p>
            <w:pPr>
              <w:widowControl/>
              <w:adjustRightInd w:val="0"/>
              <w:snapToGrid w:val="0"/>
              <w:spacing w:line="600" w:lineRule="exact"/>
              <w:jc w:val="left"/>
              <w:rPr>
                <w:rFonts w:ascii="宋体" w:hAnsi="宋体" w:cs="宋体"/>
                <w:kern w:val="0"/>
                <w:sz w:val="18"/>
                <w:szCs w:val="18"/>
              </w:rPr>
            </w:pPr>
          </w:p>
        </w:tc>
        <w:tc>
          <w:tcPr>
            <w:tcW w:w="934"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小计</w:t>
            </w:r>
          </w:p>
        </w:tc>
        <w:tc>
          <w:tcPr>
            <w:tcW w:w="9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公务用车购置费</w:t>
            </w:r>
          </w:p>
        </w:tc>
        <w:tc>
          <w:tcPr>
            <w:tcW w:w="9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公务用车运行费</w:t>
            </w:r>
          </w:p>
        </w:tc>
        <w:tc>
          <w:tcPr>
            <w:tcW w:w="1116" w:type="dxa"/>
            <w:vMerge w:val="continue"/>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60" w:hRule="atLeast"/>
        </w:trPr>
        <w:tc>
          <w:tcPr>
            <w:tcW w:w="2394" w:type="dxa"/>
            <w:tcBorders>
              <w:top w:val="nil"/>
              <w:left w:val="single" w:color="auto" w:sz="4" w:space="0"/>
              <w:bottom w:val="nil"/>
              <w:right w:val="single" w:color="auto" w:sz="4" w:space="0"/>
            </w:tcBorders>
            <w:shd w:val="clear" w:color="000000" w:fill="FFFFFF"/>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w:t>
            </w:r>
          </w:p>
        </w:tc>
        <w:tc>
          <w:tcPr>
            <w:tcW w:w="12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1</w:t>
            </w:r>
          </w:p>
        </w:tc>
        <w:tc>
          <w:tcPr>
            <w:tcW w:w="92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2</w:t>
            </w:r>
          </w:p>
        </w:tc>
        <w:tc>
          <w:tcPr>
            <w:tcW w:w="9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3</w:t>
            </w:r>
          </w:p>
        </w:tc>
        <w:tc>
          <w:tcPr>
            <w:tcW w:w="9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4</w:t>
            </w:r>
          </w:p>
        </w:tc>
        <w:tc>
          <w:tcPr>
            <w:tcW w:w="9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5</w:t>
            </w:r>
          </w:p>
        </w:tc>
        <w:tc>
          <w:tcPr>
            <w:tcW w:w="111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6</w:t>
            </w:r>
          </w:p>
        </w:tc>
      </w:tr>
      <w:tr>
        <w:tblPrEx>
          <w:tblLayout w:type="fixed"/>
          <w:tblCellMar>
            <w:top w:w="0" w:type="dxa"/>
            <w:left w:w="108" w:type="dxa"/>
            <w:bottom w:w="0" w:type="dxa"/>
            <w:right w:w="108" w:type="dxa"/>
          </w:tblCellMar>
        </w:tblPrEx>
        <w:trPr>
          <w:trHeight w:val="360" w:hRule="atLeast"/>
        </w:trPr>
        <w:tc>
          <w:tcPr>
            <w:tcW w:w="23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28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92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9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9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934"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11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bl>
    <w:p>
      <w:pPr>
        <w:widowControl/>
        <w:adjustRightInd w:val="0"/>
        <w:snapToGrid w:val="0"/>
        <w:spacing w:line="600" w:lineRule="exact"/>
        <w:outlineLvl w:val="1"/>
        <w:rPr>
          <w:rFonts w:ascii="仿宋_GB2312" w:hAnsi="宋体" w:eastAsia="仿宋_GB2312"/>
          <w:kern w:val="0"/>
          <w:sz w:val="32"/>
          <w:szCs w:val="32"/>
        </w:rPr>
      </w:pPr>
      <w:r>
        <w:rPr>
          <w:rFonts w:hint="eastAsia" w:ascii="仿宋_GB2312" w:hAnsi="宋体" w:eastAsia="仿宋_GB2312" w:cs="宋体"/>
          <w:kern w:val="0"/>
          <w:sz w:val="32"/>
          <w:szCs w:val="32"/>
        </w:rPr>
        <w:t>根据国家财政部、税务总局制定的《税务部门经费保障实施办法》，2019年自治区财政仅安排由财政保障的人员预算，故本表为空表</w:t>
      </w:r>
      <w:r>
        <w:rPr>
          <w:rFonts w:hint="eastAsia" w:ascii="仿宋_GB2312" w:hAnsi="宋体" w:eastAsia="仿宋_GB2312" w:cs="宋体"/>
          <w:kern w:val="0"/>
          <w:sz w:val="32"/>
          <w:szCs w:val="32"/>
          <w:lang w:eastAsia="zh-CN"/>
        </w:rPr>
        <w:t>。</w:t>
      </w:r>
    </w:p>
    <w:p>
      <w:pPr>
        <w:widowControl/>
        <w:adjustRightInd w:val="0"/>
        <w:snapToGrid w:val="0"/>
        <w:spacing w:line="6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tbl>
      <w:tblPr>
        <w:tblStyle w:val="12"/>
        <w:tblW w:w="8522" w:type="dxa"/>
        <w:tblInd w:w="0" w:type="dxa"/>
        <w:tblLayout w:type="fixed"/>
        <w:tblCellMar>
          <w:top w:w="0" w:type="dxa"/>
          <w:left w:w="108" w:type="dxa"/>
          <w:bottom w:w="0" w:type="dxa"/>
          <w:right w:w="108" w:type="dxa"/>
        </w:tblCellMar>
      </w:tblPr>
      <w:tblGrid>
        <w:gridCol w:w="576"/>
        <w:gridCol w:w="576"/>
        <w:gridCol w:w="576"/>
        <w:gridCol w:w="2596"/>
        <w:gridCol w:w="1836"/>
        <w:gridCol w:w="1181"/>
        <w:gridCol w:w="1181"/>
      </w:tblGrid>
      <w:tr>
        <w:tblPrEx>
          <w:tblLayout w:type="fixed"/>
          <w:tblCellMar>
            <w:top w:w="0" w:type="dxa"/>
            <w:left w:w="108" w:type="dxa"/>
            <w:bottom w:w="0" w:type="dxa"/>
            <w:right w:w="108" w:type="dxa"/>
          </w:tblCellMar>
        </w:tblPrEx>
        <w:trPr>
          <w:trHeight w:val="402" w:hRule="atLeast"/>
        </w:trPr>
        <w:tc>
          <w:tcPr>
            <w:tcW w:w="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项目</w:t>
            </w:r>
          </w:p>
        </w:tc>
        <w:tc>
          <w:tcPr>
            <w:tcW w:w="57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57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259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83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政府性基金预算支出</w:t>
            </w:r>
          </w:p>
        </w:tc>
        <w:tc>
          <w:tcPr>
            <w:tcW w:w="118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18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75" w:hRule="atLeast"/>
        </w:trPr>
        <w:tc>
          <w:tcPr>
            <w:tcW w:w="172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功能分类科目编码</w:t>
            </w:r>
          </w:p>
        </w:tc>
        <w:tc>
          <w:tcPr>
            <w:tcW w:w="2596" w:type="dxa"/>
            <w:vMerge w:val="restart"/>
            <w:tcBorders>
              <w:top w:val="nil"/>
              <w:left w:val="nil"/>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功能分类科目名称</w:t>
            </w:r>
          </w:p>
        </w:tc>
        <w:tc>
          <w:tcPr>
            <w:tcW w:w="1836" w:type="dxa"/>
            <w:vMerge w:val="restart"/>
            <w:tcBorders>
              <w:top w:val="nil"/>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总      计</w:t>
            </w:r>
          </w:p>
        </w:tc>
        <w:tc>
          <w:tcPr>
            <w:tcW w:w="1181"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基本支出</w:t>
            </w:r>
          </w:p>
        </w:tc>
        <w:tc>
          <w:tcPr>
            <w:tcW w:w="1181"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项目支出</w:t>
            </w:r>
          </w:p>
        </w:tc>
      </w:tr>
      <w:tr>
        <w:tblPrEx>
          <w:tblLayout w:type="fixed"/>
          <w:tblCellMar>
            <w:top w:w="0" w:type="dxa"/>
            <w:left w:w="108" w:type="dxa"/>
            <w:bottom w:w="0" w:type="dxa"/>
            <w:right w:w="108" w:type="dxa"/>
          </w:tblCellMar>
        </w:tblPrEx>
        <w:trPr>
          <w:trHeight w:val="600" w:hRule="atLeast"/>
        </w:trPr>
        <w:tc>
          <w:tcPr>
            <w:tcW w:w="576"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类</w:t>
            </w:r>
          </w:p>
        </w:tc>
        <w:tc>
          <w:tcPr>
            <w:tcW w:w="576"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款</w:t>
            </w:r>
          </w:p>
        </w:tc>
        <w:tc>
          <w:tcPr>
            <w:tcW w:w="576"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项</w:t>
            </w:r>
          </w:p>
        </w:tc>
        <w:tc>
          <w:tcPr>
            <w:tcW w:w="2596" w:type="dxa"/>
            <w:vMerge w:val="continue"/>
            <w:tcBorders>
              <w:top w:val="nil"/>
              <w:left w:val="nil"/>
              <w:bottom w:val="single" w:color="auto"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1836" w:type="dxa"/>
            <w:vMerge w:val="continue"/>
            <w:tcBorders>
              <w:top w:val="nil"/>
              <w:left w:val="single" w:color="auto" w:sz="4" w:space="0"/>
              <w:bottom w:val="single" w:color="auto" w:sz="4" w:space="0"/>
              <w:right w:val="nil"/>
            </w:tcBorders>
            <w:vAlign w:val="center"/>
          </w:tcPr>
          <w:p>
            <w:pPr>
              <w:widowControl/>
              <w:adjustRightInd w:val="0"/>
              <w:snapToGrid w:val="0"/>
              <w:spacing w:line="600" w:lineRule="exact"/>
              <w:jc w:val="left"/>
              <w:rPr>
                <w:rFonts w:ascii="宋体" w:hAnsi="宋体" w:cs="宋体"/>
                <w:kern w:val="0"/>
                <w:sz w:val="18"/>
                <w:szCs w:val="18"/>
              </w:rPr>
            </w:pPr>
          </w:p>
        </w:tc>
        <w:tc>
          <w:tcPr>
            <w:tcW w:w="1181"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1181"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600" w:hRule="atLeast"/>
        </w:trPr>
        <w:tc>
          <w:tcPr>
            <w:tcW w:w="57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576"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576"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2596" w:type="dxa"/>
            <w:vMerge w:val="continue"/>
            <w:tcBorders>
              <w:top w:val="nil"/>
              <w:left w:val="nil"/>
              <w:bottom w:val="single" w:color="auto"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1836" w:type="dxa"/>
            <w:vMerge w:val="continue"/>
            <w:tcBorders>
              <w:top w:val="nil"/>
              <w:left w:val="single" w:color="auto" w:sz="4" w:space="0"/>
              <w:bottom w:val="single" w:color="auto" w:sz="4" w:space="0"/>
              <w:right w:val="nil"/>
            </w:tcBorders>
            <w:vAlign w:val="center"/>
          </w:tcPr>
          <w:p>
            <w:pPr>
              <w:widowControl/>
              <w:adjustRightInd w:val="0"/>
              <w:snapToGrid w:val="0"/>
              <w:spacing w:line="600" w:lineRule="exact"/>
              <w:jc w:val="left"/>
              <w:rPr>
                <w:rFonts w:ascii="宋体" w:hAnsi="宋体" w:cs="宋体"/>
                <w:kern w:val="0"/>
                <w:sz w:val="18"/>
                <w:szCs w:val="18"/>
              </w:rPr>
            </w:pPr>
          </w:p>
        </w:tc>
        <w:tc>
          <w:tcPr>
            <w:tcW w:w="1181"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c>
          <w:tcPr>
            <w:tcW w:w="1181" w:type="dxa"/>
            <w:vMerge w:val="continue"/>
            <w:tcBorders>
              <w:top w:val="nil"/>
              <w:left w:val="single" w:color="auto" w:sz="4" w:space="0"/>
              <w:bottom w:val="single" w:color="000000" w:sz="4" w:space="0"/>
              <w:right w:val="single" w:color="auto" w:sz="4" w:space="0"/>
            </w:tcBorders>
            <w:vAlign w:val="center"/>
          </w:tcPr>
          <w:p>
            <w:pPr>
              <w:widowControl/>
              <w:adjustRightInd w:val="0"/>
              <w:snapToGrid w:val="0"/>
              <w:spacing w:line="60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94"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w:t>
            </w:r>
          </w:p>
        </w:tc>
        <w:tc>
          <w:tcPr>
            <w:tcW w:w="576" w:type="dxa"/>
            <w:tcBorders>
              <w:top w:val="nil"/>
              <w:left w:val="nil"/>
              <w:bottom w:val="nil"/>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w:t>
            </w:r>
          </w:p>
        </w:tc>
        <w:tc>
          <w:tcPr>
            <w:tcW w:w="576" w:type="dxa"/>
            <w:tcBorders>
              <w:top w:val="single" w:color="auto" w:sz="4" w:space="0"/>
              <w:left w:val="nil"/>
              <w:bottom w:val="nil"/>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w:t>
            </w:r>
          </w:p>
        </w:tc>
        <w:tc>
          <w:tcPr>
            <w:tcW w:w="2596" w:type="dxa"/>
            <w:tcBorders>
              <w:top w:val="nil"/>
              <w:left w:val="nil"/>
              <w:bottom w:val="nil"/>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w:t>
            </w:r>
          </w:p>
        </w:tc>
        <w:tc>
          <w:tcPr>
            <w:tcW w:w="1836" w:type="dxa"/>
            <w:tcBorders>
              <w:top w:val="nil"/>
              <w:left w:val="nil"/>
              <w:bottom w:val="nil"/>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1</w:t>
            </w:r>
          </w:p>
        </w:tc>
        <w:tc>
          <w:tcPr>
            <w:tcW w:w="1181" w:type="dxa"/>
            <w:tcBorders>
              <w:top w:val="nil"/>
              <w:left w:val="nil"/>
              <w:bottom w:val="nil"/>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2</w:t>
            </w:r>
          </w:p>
        </w:tc>
        <w:tc>
          <w:tcPr>
            <w:tcW w:w="1181" w:type="dxa"/>
            <w:tcBorders>
              <w:top w:val="nil"/>
              <w:left w:val="nil"/>
              <w:bottom w:val="nil"/>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3</w:t>
            </w:r>
          </w:p>
        </w:tc>
      </w:tr>
      <w:tr>
        <w:tblPrEx>
          <w:tblLayout w:type="fixed"/>
          <w:tblCellMar>
            <w:top w:w="0" w:type="dxa"/>
            <w:left w:w="108" w:type="dxa"/>
            <w:bottom w:w="0" w:type="dxa"/>
            <w:right w:w="108" w:type="dxa"/>
          </w:tblCellMar>
        </w:tblPrEx>
        <w:trPr>
          <w:trHeight w:val="360"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576" w:type="dxa"/>
            <w:tcBorders>
              <w:top w:val="single" w:color="auto" w:sz="4" w:space="0"/>
              <w:left w:val="nil"/>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576" w:type="dxa"/>
            <w:tcBorders>
              <w:top w:val="single" w:color="auto" w:sz="4" w:space="0"/>
              <w:left w:val="single" w:color="auto" w:sz="4" w:space="0"/>
              <w:bottom w:val="single" w:color="auto" w:sz="4" w:space="0"/>
              <w:right w:val="nil"/>
            </w:tcBorders>
            <w:shd w:val="clear" w:color="auto" w:fill="auto"/>
            <w:vAlign w:val="center"/>
          </w:tcPr>
          <w:p>
            <w:pPr>
              <w:widowControl/>
              <w:adjustRightInd w:val="0"/>
              <w:snapToGrid w:val="0"/>
              <w:spacing w:line="600" w:lineRule="exact"/>
              <w:jc w:val="center"/>
              <w:rPr>
                <w:rFonts w:ascii="宋体" w:hAnsi="宋体" w:cs="宋体"/>
                <w:kern w:val="0"/>
                <w:sz w:val="18"/>
                <w:szCs w:val="18"/>
              </w:rPr>
            </w:pPr>
            <w:r>
              <w:rPr>
                <w:rFonts w:hint="eastAsia" w:ascii="宋体" w:hAnsi="宋体" w:cs="宋体"/>
                <w:kern w:val="0"/>
                <w:sz w:val="18"/>
                <w:szCs w:val="18"/>
              </w:rPr>
              <w:t>　</w:t>
            </w:r>
          </w:p>
        </w:tc>
        <w:tc>
          <w:tcPr>
            <w:tcW w:w="2596" w:type="dxa"/>
            <w:tcBorders>
              <w:top w:val="single" w:color="auto" w:sz="4" w:space="0"/>
              <w:left w:val="single" w:color="auto" w:sz="4" w:space="0"/>
              <w:bottom w:val="single" w:color="auto" w:sz="4" w:space="0"/>
              <w:right w:val="nil"/>
            </w:tcBorders>
            <w:shd w:val="clear" w:color="auto" w:fill="auto"/>
            <w:vAlign w:val="center"/>
          </w:tcPr>
          <w:p>
            <w:pPr>
              <w:widowControl/>
              <w:adjustRightInd w:val="0"/>
              <w:snapToGrid w:val="0"/>
              <w:spacing w:line="600" w:lineRule="exact"/>
              <w:jc w:val="left"/>
              <w:rPr>
                <w:rFonts w:ascii="宋体" w:hAnsi="宋体" w:cs="宋体"/>
                <w:kern w:val="0"/>
                <w:sz w:val="18"/>
                <w:szCs w:val="18"/>
              </w:rPr>
            </w:pPr>
            <w:r>
              <w:rPr>
                <w:rFonts w:hint="eastAsia" w:ascii="宋体" w:hAnsi="宋体" w:cs="宋体"/>
                <w:kern w:val="0"/>
                <w:sz w:val="18"/>
                <w:szCs w:val="18"/>
              </w:rPr>
              <w:t>　</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181" w:type="dxa"/>
            <w:tcBorders>
              <w:top w:val="single" w:color="auto" w:sz="4" w:space="0"/>
              <w:left w:val="nil"/>
              <w:bottom w:val="single" w:color="auto" w:sz="4" w:space="0"/>
              <w:right w:val="nil"/>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c>
          <w:tcPr>
            <w:tcW w:w="11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600" w:lineRule="exact"/>
              <w:jc w:val="right"/>
              <w:rPr>
                <w:rFonts w:ascii="宋体" w:hAnsi="宋体" w:cs="宋体"/>
                <w:kern w:val="0"/>
                <w:sz w:val="18"/>
                <w:szCs w:val="18"/>
              </w:rPr>
            </w:pPr>
            <w:r>
              <w:rPr>
                <w:rFonts w:hint="eastAsia" w:ascii="宋体" w:hAnsi="宋体" w:cs="宋体"/>
                <w:kern w:val="0"/>
                <w:sz w:val="18"/>
                <w:szCs w:val="18"/>
              </w:rPr>
              <w:t>　</w:t>
            </w:r>
          </w:p>
        </w:tc>
      </w:tr>
    </w:tbl>
    <w:p>
      <w:pPr>
        <w:widowControl/>
        <w:adjustRightInd w:val="0"/>
        <w:snapToGrid w:val="0"/>
        <w:spacing w:line="600" w:lineRule="exact"/>
        <w:outlineLvl w:val="1"/>
        <w:rPr>
          <w:rFonts w:hint="eastAsia" w:ascii="仿宋_GB2312" w:hAnsi="宋体" w:eastAsia="仿宋_GB2312"/>
          <w:kern w:val="0"/>
          <w:sz w:val="32"/>
          <w:szCs w:val="32"/>
          <w:lang w:eastAsia="zh-CN"/>
        </w:rPr>
      </w:pPr>
      <w:r>
        <w:rPr>
          <w:rFonts w:hint="eastAsia" w:ascii="仿宋_GB2312" w:hAnsi="宋体" w:eastAsia="仿宋_GB2312"/>
          <w:kern w:val="0"/>
          <w:sz w:val="32"/>
          <w:szCs w:val="32"/>
          <w:lang w:eastAsia="zh-CN"/>
        </w:rPr>
        <w:t>阜康市</w:t>
      </w:r>
      <w:r>
        <w:rPr>
          <w:rFonts w:hint="eastAsia" w:ascii="仿宋_GB2312" w:hAnsi="宋体" w:eastAsia="仿宋_GB2312"/>
          <w:kern w:val="0"/>
          <w:sz w:val="32"/>
          <w:szCs w:val="32"/>
        </w:rPr>
        <w:t>税务局没有政府性基金，本表为空表</w:t>
      </w:r>
      <w:r>
        <w:rPr>
          <w:rFonts w:hint="eastAsia" w:ascii="仿宋_GB2312" w:hAnsi="宋体" w:eastAsia="仿宋_GB2312"/>
          <w:kern w:val="0"/>
          <w:sz w:val="32"/>
          <w:szCs w:val="32"/>
          <w:lang w:eastAsia="zh-CN"/>
        </w:rPr>
        <w:t>。</w:t>
      </w:r>
    </w:p>
    <w:p>
      <w:pPr>
        <w:widowControl/>
        <w:adjustRightInd w:val="0"/>
        <w:snapToGrid w:val="0"/>
        <w:spacing w:line="600" w:lineRule="exact"/>
        <w:outlineLvl w:val="1"/>
        <w:rPr>
          <w:rFonts w:ascii="仿宋_GB2312" w:hAnsi="宋体" w:eastAsia="仿宋_GB2312"/>
          <w:b/>
          <w:kern w:val="0"/>
          <w:sz w:val="32"/>
          <w:szCs w:val="32"/>
        </w:rPr>
      </w:pPr>
    </w:p>
    <w:p>
      <w:pPr>
        <w:widowControl/>
        <w:adjustRightInd w:val="0"/>
        <w:snapToGrid w:val="0"/>
        <w:spacing w:line="600" w:lineRule="exact"/>
        <w:jc w:val="center"/>
        <w:outlineLvl w:val="1"/>
        <w:rPr>
          <w:rFonts w:ascii="黑体" w:hAnsi="黑体" w:eastAsia="黑体"/>
          <w:b/>
          <w:kern w:val="0"/>
          <w:sz w:val="32"/>
          <w:szCs w:val="32"/>
        </w:rPr>
      </w:pPr>
      <w:r>
        <w:rPr>
          <w:rFonts w:hint="eastAsia" w:ascii="黑体" w:hAnsi="黑体" w:eastAsia="黑体"/>
          <w:b/>
          <w:kern w:val="0"/>
          <w:sz w:val="32"/>
          <w:szCs w:val="32"/>
        </w:rPr>
        <w:t>第三部分  2019年部门预算情况说明</w:t>
      </w:r>
    </w:p>
    <w:p>
      <w:pPr>
        <w:widowControl/>
        <w:adjustRightInd w:val="0"/>
        <w:snapToGrid w:val="0"/>
        <w:spacing w:line="600" w:lineRule="exact"/>
        <w:ind w:firstLine="640" w:firstLineChars="200"/>
        <w:outlineLvl w:val="1"/>
        <w:rPr>
          <w:rFonts w:ascii="黑体" w:hAnsi="黑体" w:eastAsia="黑体"/>
          <w:kern w:val="0"/>
          <w:sz w:val="32"/>
          <w:szCs w:val="32"/>
        </w:rPr>
      </w:pPr>
      <w:r>
        <w:rPr>
          <w:rFonts w:hint="eastAsia" w:ascii="黑体" w:hAnsi="黑体" w:eastAsia="黑体"/>
          <w:kern w:val="0"/>
          <w:sz w:val="32"/>
          <w:szCs w:val="32"/>
        </w:rPr>
        <w:t>一、关于</w:t>
      </w:r>
      <w:r>
        <w:rPr>
          <w:rFonts w:hint="eastAsia" w:ascii="黑体" w:hAnsi="黑体" w:eastAsia="黑体"/>
          <w:kern w:val="0"/>
          <w:sz w:val="32"/>
          <w:szCs w:val="32"/>
          <w:lang w:eastAsia="zh-CN"/>
        </w:rPr>
        <w:t>阜康市</w:t>
      </w:r>
      <w:r>
        <w:rPr>
          <w:rFonts w:hint="eastAsia" w:ascii="黑体" w:hAnsi="黑体" w:eastAsia="黑体"/>
          <w:kern w:val="0"/>
          <w:sz w:val="32"/>
          <w:szCs w:val="32"/>
        </w:rPr>
        <w:t>税务局2019年收支预算情况的总体说明</w:t>
      </w:r>
    </w:p>
    <w:p>
      <w:pPr>
        <w:adjustRightInd w:val="0"/>
        <w:snapToGrid w:val="0"/>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w:t>
      </w:r>
      <w:r>
        <w:rPr>
          <w:rFonts w:hint="eastAsia" w:ascii="仿宋_GB2312" w:hAnsi="宋体" w:eastAsia="仿宋_GB2312"/>
          <w:kern w:val="0"/>
          <w:sz w:val="32"/>
          <w:szCs w:val="32"/>
          <w:lang w:eastAsia="zh-CN"/>
        </w:rPr>
        <w:t>阜康市</w:t>
      </w:r>
      <w:r>
        <w:rPr>
          <w:rFonts w:hint="eastAsia" w:ascii="仿宋_GB2312" w:hAnsi="宋体" w:eastAsia="仿宋_GB2312"/>
          <w:kern w:val="0"/>
          <w:sz w:val="32"/>
          <w:szCs w:val="32"/>
        </w:rPr>
        <w:t>税务局2019年</w:t>
      </w:r>
      <w:r>
        <w:rPr>
          <w:rFonts w:hint="eastAsia" w:ascii="仿宋_GB2312" w:hAnsi="宋体" w:eastAsia="仿宋_GB2312" w:cs="宋体"/>
          <w:kern w:val="0"/>
          <w:sz w:val="32"/>
          <w:szCs w:val="32"/>
        </w:rPr>
        <w:t>所有收入和支出均纳入部门预算管理。收支总预算</w:t>
      </w:r>
      <w:r>
        <w:rPr>
          <w:rFonts w:hint="eastAsia" w:ascii="仿宋_GB2312" w:hAnsi="宋体" w:eastAsia="仿宋_GB2312"/>
          <w:kern w:val="0"/>
          <w:sz w:val="32"/>
          <w:szCs w:val="32"/>
        </w:rPr>
        <w:t>842.08</w:t>
      </w:r>
      <w:r>
        <w:rPr>
          <w:rFonts w:hint="eastAsia" w:ascii="仿宋_GB2312" w:hAnsi="宋体" w:eastAsia="仿宋_GB2312" w:cs="宋体"/>
          <w:kern w:val="0"/>
          <w:sz w:val="32"/>
          <w:szCs w:val="32"/>
        </w:rPr>
        <w:t>万元。</w:t>
      </w:r>
    </w:p>
    <w:p>
      <w:pPr>
        <w:widowControl/>
        <w:adjustRightInd w:val="0"/>
        <w:snapToGrid w:val="0"/>
        <w:spacing w:line="6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w:t>
      </w:r>
    </w:p>
    <w:p>
      <w:pPr>
        <w:widowControl/>
        <w:adjustRightInd w:val="0"/>
        <w:snapToGrid w:val="0"/>
        <w:spacing w:line="6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支出预算包括：一般公共服务支出、社会保障和就业支出。</w:t>
      </w:r>
    </w:p>
    <w:p>
      <w:pPr>
        <w:widowControl/>
        <w:adjustRightInd w:val="0"/>
        <w:snapToGrid w:val="0"/>
        <w:spacing w:line="600" w:lineRule="exact"/>
        <w:ind w:firstLine="640" w:firstLineChars="200"/>
        <w:outlineLvl w:val="1"/>
        <w:rPr>
          <w:rFonts w:ascii="黑体" w:hAnsi="黑体" w:eastAsia="黑体"/>
          <w:kern w:val="0"/>
          <w:sz w:val="32"/>
          <w:szCs w:val="32"/>
        </w:rPr>
      </w:pPr>
      <w:r>
        <w:rPr>
          <w:rFonts w:hint="eastAsia" w:ascii="黑体" w:hAnsi="黑体" w:eastAsia="黑体"/>
          <w:kern w:val="0"/>
          <w:sz w:val="32"/>
          <w:szCs w:val="32"/>
        </w:rPr>
        <w:t>二、关于</w:t>
      </w:r>
      <w:r>
        <w:rPr>
          <w:rFonts w:hint="eastAsia" w:ascii="黑体" w:hAnsi="黑体" w:eastAsia="黑体"/>
          <w:kern w:val="0"/>
          <w:sz w:val="32"/>
          <w:szCs w:val="32"/>
          <w:lang w:eastAsia="zh-CN"/>
        </w:rPr>
        <w:t>阜康市</w:t>
      </w:r>
      <w:r>
        <w:rPr>
          <w:rFonts w:hint="eastAsia" w:ascii="黑体" w:hAnsi="黑体" w:eastAsia="黑体"/>
          <w:kern w:val="0"/>
          <w:sz w:val="32"/>
          <w:szCs w:val="32"/>
        </w:rPr>
        <w:t>税务局2019年收入预算情况说明</w:t>
      </w:r>
    </w:p>
    <w:p>
      <w:pPr>
        <w:widowControl/>
        <w:adjustRightInd w:val="0"/>
        <w:snapToGrid w:val="0"/>
        <w:spacing w:line="600" w:lineRule="exact"/>
        <w:ind w:firstLine="640"/>
        <w:jc w:val="left"/>
        <w:rPr>
          <w:rFonts w:ascii="仿宋_GB2312" w:hAnsi="宋体" w:eastAsia="仿宋_GB2312" w:cs="宋体"/>
          <w:kern w:val="0"/>
          <w:sz w:val="32"/>
          <w:szCs w:val="32"/>
        </w:rPr>
      </w:pPr>
      <w:r>
        <w:rPr>
          <w:rFonts w:hint="eastAsia" w:ascii="仿宋_GB2312" w:hAnsi="宋体" w:eastAsia="仿宋_GB2312"/>
          <w:kern w:val="0"/>
          <w:sz w:val="32"/>
          <w:szCs w:val="32"/>
          <w:lang w:eastAsia="zh-CN"/>
        </w:rPr>
        <w:t>阜康市</w:t>
      </w:r>
      <w:r>
        <w:rPr>
          <w:rFonts w:hint="eastAsia" w:ascii="仿宋_GB2312" w:hAnsi="宋体" w:eastAsia="仿宋_GB2312"/>
          <w:kern w:val="0"/>
          <w:sz w:val="32"/>
          <w:szCs w:val="32"/>
        </w:rPr>
        <w:t>税务局</w:t>
      </w:r>
      <w:r>
        <w:rPr>
          <w:rFonts w:hint="eastAsia" w:ascii="仿宋_GB2312" w:hAnsi="宋体" w:eastAsia="仿宋_GB2312" w:cs="宋体"/>
          <w:kern w:val="0"/>
          <w:sz w:val="32"/>
          <w:szCs w:val="32"/>
        </w:rPr>
        <w:t>收入预算</w:t>
      </w:r>
      <w:r>
        <w:rPr>
          <w:rFonts w:hint="eastAsia" w:ascii="仿宋_GB2312" w:hAnsi="宋体" w:eastAsia="仿宋_GB2312"/>
          <w:kern w:val="0"/>
          <w:sz w:val="32"/>
          <w:szCs w:val="32"/>
        </w:rPr>
        <w:t>842.08万</w:t>
      </w:r>
      <w:r>
        <w:rPr>
          <w:rFonts w:hint="eastAsia" w:ascii="仿宋_GB2312" w:hAnsi="宋体" w:eastAsia="仿宋_GB2312" w:cs="宋体"/>
          <w:kern w:val="0"/>
          <w:sz w:val="32"/>
          <w:szCs w:val="32"/>
        </w:rPr>
        <w:t>元，其中：</w:t>
      </w:r>
    </w:p>
    <w:p>
      <w:pPr>
        <w:adjustRightInd w:val="0"/>
        <w:snapToGrid w:val="0"/>
        <w:spacing w:line="600" w:lineRule="exact"/>
        <w:ind w:firstLine="640" w:firstLineChars="200"/>
        <w:rPr>
          <w:rFonts w:ascii="仿宋_GB2312" w:hAnsi="宋体" w:eastAsia="仿宋_GB2312"/>
          <w:kern w:val="0"/>
          <w:sz w:val="32"/>
          <w:szCs w:val="32"/>
        </w:rPr>
      </w:pPr>
      <w:r>
        <w:rPr>
          <w:rFonts w:hint="eastAsia" w:ascii="仿宋_GB2312" w:hAnsi="宋体" w:eastAsia="仿宋_GB2312" w:cs="宋体"/>
          <w:kern w:val="0"/>
          <w:sz w:val="32"/>
          <w:szCs w:val="32"/>
        </w:rPr>
        <w:t>一般公共预算</w:t>
      </w:r>
      <w:r>
        <w:rPr>
          <w:rFonts w:hint="eastAsia" w:ascii="仿宋_GB2312" w:hAnsi="宋体" w:eastAsia="仿宋_GB2312"/>
          <w:kern w:val="0"/>
          <w:sz w:val="32"/>
          <w:szCs w:val="32"/>
        </w:rPr>
        <w:t>842.08</w:t>
      </w:r>
      <w:r>
        <w:rPr>
          <w:rFonts w:hint="eastAsia" w:ascii="仿宋_GB2312" w:hAnsi="宋体" w:eastAsia="仿宋_GB2312" w:cs="宋体"/>
          <w:kern w:val="0"/>
          <w:sz w:val="32"/>
          <w:szCs w:val="32"/>
        </w:rPr>
        <w:t>万元，占100 %，比上年减少</w:t>
      </w:r>
      <w:r>
        <w:rPr>
          <w:rFonts w:hint="eastAsia" w:ascii="仿宋_GB2312" w:hAnsi="宋体" w:eastAsia="仿宋_GB2312" w:cs="宋体"/>
          <w:kern w:val="0"/>
          <w:sz w:val="32"/>
          <w:szCs w:val="32"/>
          <w:lang w:val="en-US" w:eastAsia="zh-CN"/>
        </w:rPr>
        <w:t>58.32</w:t>
      </w:r>
      <w:r>
        <w:rPr>
          <w:rFonts w:hint="eastAsia" w:ascii="仿宋_GB2312" w:hAnsi="宋体" w:eastAsia="仿宋_GB2312" w:cs="宋体"/>
          <w:kern w:val="0"/>
          <w:sz w:val="32"/>
          <w:szCs w:val="32"/>
        </w:rPr>
        <w:t>万元，主要原因是2018年国地税征管改革，原</w:t>
      </w:r>
      <w:r>
        <w:rPr>
          <w:rFonts w:hint="eastAsia" w:ascii="仿宋_GB2312" w:hAnsi="宋体" w:eastAsia="仿宋_GB2312"/>
          <w:kern w:val="0"/>
          <w:sz w:val="32"/>
          <w:szCs w:val="32"/>
          <w:lang w:eastAsia="zh-CN"/>
        </w:rPr>
        <w:t>阜康市</w:t>
      </w:r>
      <w:r>
        <w:rPr>
          <w:rFonts w:hint="eastAsia" w:ascii="仿宋_GB2312" w:hAnsi="宋体" w:eastAsia="仿宋_GB2312"/>
          <w:kern w:val="0"/>
          <w:sz w:val="32"/>
          <w:szCs w:val="32"/>
        </w:rPr>
        <w:t>地方税务局与原</w:t>
      </w:r>
      <w:r>
        <w:rPr>
          <w:rFonts w:hint="eastAsia" w:ascii="仿宋_GB2312" w:hAnsi="宋体" w:eastAsia="仿宋_GB2312"/>
          <w:kern w:val="0"/>
          <w:sz w:val="32"/>
          <w:szCs w:val="32"/>
          <w:lang w:eastAsia="zh-CN"/>
        </w:rPr>
        <w:t>阜康市</w:t>
      </w:r>
      <w:r>
        <w:rPr>
          <w:rFonts w:hint="eastAsia" w:ascii="仿宋_GB2312" w:hAnsi="宋体" w:eastAsia="仿宋_GB2312"/>
          <w:kern w:val="0"/>
          <w:sz w:val="32"/>
          <w:szCs w:val="32"/>
        </w:rPr>
        <w:t>国税局合并为</w:t>
      </w:r>
      <w:r>
        <w:rPr>
          <w:rFonts w:hint="eastAsia" w:ascii="仿宋_GB2312" w:hAnsi="宋体" w:eastAsia="仿宋_GB2312"/>
          <w:kern w:val="0"/>
          <w:sz w:val="32"/>
          <w:szCs w:val="32"/>
          <w:lang w:eastAsia="zh-CN"/>
        </w:rPr>
        <w:t>阜康市</w:t>
      </w:r>
      <w:r>
        <w:rPr>
          <w:rFonts w:hint="eastAsia" w:ascii="仿宋_GB2312" w:hAnsi="宋体" w:eastAsia="仿宋_GB2312"/>
          <w:kern w:val="0"/>
          <w:sz w:val="32"/>
          <w:szCs w:val="32"/>
        </w:rPr>
        <w:t xml:space="preserve">税务局，经费保障体制随之发生变化，自治区财政保障范围为按照国家政策执行属地标准的工资项目，及其涉及的养老保险缴费、医疗保险缴费、住房公积金等单位按照规定缴存部分；按照国家政策执行地方标准的丧葬费、遗属补助等。    </w:t>
      </w:r>
    </w:p>
    <w:p>
      <w:pPr>
        <w:widowControl/>
        <w:adjustRightInd w:val="0"/>
        <w:snapToGrid w:val="0"/>
        <w:spacing w:line="600" w:lineRule="exact"/>
        <w:ind w:firstLine="640"/>
        <w:jc w:val="left"/>
        <w:rPr>
          <w:rFonts w:ascii="仿宋_GB2312" w:hAnsi="宋体" w:eastAsia="仿宋_GB2312"/>
          <w:kern w:val="0"/>
          <w:sz w:val="32"/>
          <w:szCs w:val="32"/>
        </w:rPr>
      </w:pPr>
      <w:r>
        <w:rPr>
          <w:rFonts w:hint="eastAsia" w:ascii="仿宋_GB2312" w:hAnsi="宋体" w:eastAsia="仿宋_GB2312"/>
          <w:kern w:val="0"/>
          <w:sz w:val="32"/>
          <w:szCs w:val="32"/>
        </w:rPr>
        <w:t>政府性基金预算未安排。</w:t>
      </w:r>
    </w:p>
    <w:p>
      <w:pPr>
        <w:widowControl/>
        <w:adjustRightInd w:val="0"/>
        <w:snapToGrid w:val="0"/>
        <w:spacing w:line="600" w:lineRule="exact"/>
        <w:ind w:firstLine="640" w:firstLineChars="200"/>
        <w:outlineLvl w:val="1"/>
        <w:rPr>
          <w:rFonts w:ascii="黑体" w:hAnsi="黑体" w:eastAsia="黑体"/>
          <w:kern w:val="0"/>
          <w:sz w:val="32"/>
          <w:szCs w:val="32"/>
        </w:rPr>
      </w:pPr>
      <w:r>
        <w:rPr>
          <w:rFonts w:hint="eastAsia" w:ascii="黑体" w:hAnsi="黑体" w:eastAsia="黑体"/>
          <w:kern w:val="0"/>
          <w:sz w:val="32"/>
          <w:szCs w:val="32"/>
        </w:rPr>
        <w:t>三、关于</w:t>
      </w:r>
      <w:r>
        <w:rPr>
          <w:rFonts w:hint="eastAsia" w:ascii="黑体" w:hAnsi="黑体" w:eastAsia="黑体"/>
          <w:kern w:val="0"/>
          <w:sz w:val="32"/>
          <w:szCs w:val="32"/>
          <w:lang w:eastAsia="zh-CN"/>
        </w:rPr>
        <w:t>阜康市</w:t>
      </w:r>
      <w:r>
        <w:rPr>
          <w:rFonts w:hint="eastAsia" w:ascii="黑体" w:hAnsi="黑体" w:eastAsia="黑体"/>
          <w:kern w:val="0"/>
          <w:sz w:val="32"/>
          <w:szCs w:val="32"/>
        </w:rPr>
        <w:t>税务局2019年支出预算情况说明</w:t>
      </w:r>
    </w:p>
    <w:p>
      <w:pPr>
        <w:widowControl/>
        <w:adjustRightInd w:val="0"/>
        <w:snapToGrid w:val="0"/>
        <w:spacing w:line="600" w:lineRule="exact"/>
        <w:ind w:firstLine="640"/>
        <w:jc w:val="left"/>
        <w:rPr>
          <w:rFonts w:ascii="仿宋_GB2312" w:hAnsi="宋体" w:eastAsia="仿宋_GB2312" w:cs="宋体"/>
          <w:kern w:val="0"/>
          <w:sz w:val="32"/>
          <w:szCs w:val="32"/>
        </w:rPr>
      </w:pPr>
      <w:r>
        <w:rPr>
          <w:rFonts w:hint="eastAsia" w:ascii="仿宋_GB2312" w:hAnsi="宋体" w:eastAsia="仿宋_GB2312"/>
          <w:kern w:val="0"/>
          <w:sz w:val="32"/>
          <w:szCs w:val="32"/>
          <w:lang w:eastAsia="zh-CN"/>
        </w:rPr>
        <w:t>阜康市</w:t>
      </w:r>
      <w:r>
        <w:rPr>
          <w:rFonts w:hint="eastAsia" w:ascii="仿宋_GB2312" w:hAnsi="宋体" w:eastAsia="仿宋_GB2312"/>
          <w:kern w:val="0"/>
          <w:sz w:val="32"/>
          <w:szCs w:val="32"/>
        </w:rPr>
        <w:t>税务局2019年</w:t>
      </w:r>
      <w:r>
        <w:rPr>
          <w:rFonts w:hint="eastAsia" w:ascii="仿宋_GB2312" w:hAnsi="宋体" w:eastAsia="仿宋_GB2312" w:cs="宋体"/>
          <w:kern w:val="0"/>
          <w:sz w:val="32"/>
          <w:szCs w:val="32"/>
        </w:rPr>
        <w:t>支出预算</w:t>
      </w:r>
      <w:r>
        <w:rPr>
          <w:rFonts w:hint="eastAsia" w:ascii="仿宋_GB2312" w:hAnsi="宋体" w:eastAsia="仿宋_GB2312"/>
          <w:kern w:val="0"/>
          <w:sz w:val="32"/>
          <w:szCs w:val="32"/>
        </w:rPr>
        <w:t>842.08万</w:t>
      </w:r>
      <w:r>
        <w:rPr>
          <w:rFonts w:hint="eastAsia" w:ascii="仿宋_GB2312" w:hAnsi="宋体" w:eastAsia="仿宋_GB2312" w:cs="宋体"/>
          <w:kern w:val="0"/>
          <w:sz w:val="32"/>
          <w:szCs w:val="32"/>
        </w:rPr>
        <w:t>元，其中：</w:t>
      </w:r>
    </w:p>
    <w:p>
      <w:pPr>
        <w:adjustRightInd w:val="0"/>
        <w:snapToGrid w:val="0"/>
        <w:spacing w:line="600" w:lineRule="exact"/>
        <w:ind w:firstLine="64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基本支出842.08万元，占100%，比上年增加</w:t>
      </w:r>
      <w:r>
        <w:rPr>
          <w:rFonts w:hint="eastAsia" w:ascii="仿宋_GB2312" w:hAnsi="宋体" w:eastAsia="仿宋_GB2312" w:cs="宋体"/>
          <w:kern w:val="0"/>
          <w:sz w:val="32"/>
          <w:szCs w:val="32"/>
          <w:lang w:val="en-US" w:eastAsia="zh-CN"/>
        </w:rPr>
        <w:t>20.61</w:t>
      </w:r>
      <w:r>
        <w:rPr>
          <w:rFonts w:hint="eastAsia" w:ascii="仿宋_GB2312" w:hAnsi="宋体" w:eastAsia="仿宋_GB2312" w:cs="宋体"/>
          <w:kern w:val="0"/>
          <w:sz w:val="32"/>
          <w:szCs w:val="32"/>
        </w:rPr>
        <w:t>万元，原因是合并后人员增加</w:t>
      </w:r>
      <w:r>
        <w:rPr>
          <w:rFonts w:hint="eastAsia" w:ascii="仿宋_GB2312" w:hAnsi="宋体" w:eastAsia="仿宋_GB2312" w:cs="宋体"/>
          <w:kern w:val="0"/>
          <w:sz w:val="32"/>
          <w:szCs w:val="32"/>
          <w:lang w:val="en-US" w:eastAsia="zh-CN"/>
        </w:rPr>
        <w:t>97</w:t>
      </w:r>
      <w:r>
        <w:rPr>
          <w:rFonts w:hint="eastAsia" w:ascii="仿宋_GB2312" w:hAnsi="宋体" w:eastAsia="仿宋_GB2312" w:cs="宋体"/>
          <w:kern w:val="0"/>
          <w:sz w:val="32"/>
          <w:szCs w:val="32"/>
        </w:rPr>
        <w:t>人，其中在职增加</w:t>
      </w:r>
      <w:r>
        <w:rPr>
          <w:rFonts w:hint="eastAsia" w:ascii="仿宋_GB2312" w:eastAsia="仿宋_GB2312" w:cs="仿宋_GB2312" w:hAnsiTheme="minorHAnsi"/>
          <w:color w:val="000000"/>
          <w:kern w:val="0"/>
          <w:sz w:val="32"/>
          <w:szCs w:val="32"/>
          <w:lang w:val="en-US" w:eastAsia="zh-CN"/>
        </w:rPr>
        <w:t>56</w:t>
      </w:r>
      <w:r>
        <w:rPr>
          <w:rFonts w:hint="eastAsia" w:ascii="仿宋_GB2312" w:hAnsi="宋体" w:eastAsia="仿宋_GB2312" w:cs="宋体"/>
          <w:kern w:val="0"/>
          <w:sz w:val="32"/>
          <w:szCs w:val="32"/>
        </w:rPr>
        <w:t>人，离退休增加</w:t>
      </w:r>
      <w:r>
        <w:rPr>
          <w:rFonts w:hint="eastAsia" w:ascii="仿宋_GB2312" w:eastAsia="仿宋_GB2312" w:cs="仿宋_GB2312" w:hAnsiTheme="minorHAnsi"/>
          <w:color w:val="000000"/>
          <w:kern w:val="0"/>
          <w:sz w:val="32"/>
          <w:szCs w:val="32"/>
          <w:lang w:val="en-US" w:eastAsia="zh-CN"/>
        </w:rPr>
        <w:t>41</w:t>
      </w:r>
      <w:r>
        <w:rPr>
          <w:rFonts w:hint="eastAsia" w:ascii="仿宋_GB2312" w:hAnsi="宋体" w:eastAsia="仿宋_GB2312" w:cs="宋体"/>
          <w:kern w:val="0"/>
          <w:sz w:val="32"/>
          <w:szCs w:val="32"/>
        </w:rPr>
        <w:t>人。</w:t>
      </w:r>
      <w:r>
        <w:rPr>
          <w:rFonts w:hint="eastAsia" w:ascii="仿宋_GB2312" w:hAnsi="宋体" w:eastAsia="仿宋_GB2312" w:cs="宋体"/>
          <w:kern w:val="0"/>
          <w:sz w:val="32"/>
          <w:szCs w:val="32"/>
          <w:lang w:eastAsia="zh-CN"/>
        </w:rPr>
        <w:t>国家性工资、津补贴由中央财政资金保障，</w:t>
      </w:r>
      <w:r>
        <w:rPr>
          <w:rFonts w:hint="eastAsia" w:ascii="仿宋_GB2312" w:hAnsi="宋体" w:eastAsia="仿宋_GB2312" w:cs="宋体"/>
          <w:kern w:val="0"/>
          <w:sz w:val="32"/>
          <w:szCs w:val="32"/>
        </w:rPr>
        <w:t>项目支出预算未安排</w:t>
      </w:r>
      <w:r>
        <w:rPr>
          <w:rFonts w:hint="eastAsia" w:ascii="仿宋_GB2312" w:hAnsi="宋体" w:eastAsia="仿宋_GB2312" w:cs="宋体"/>
          <w:kern w:val="0"/>
          <w:sz w:val="32"/>
          <w:szCs w:val="32"/>
          <w:lang w:eastAsia="zh-CN"/>
        </w:rPr>
        <w:t>。</w:t>
      </w:r>
    </w:p>
    <w:p>
      <w:pPr>
        <w:widowControl/>
        <w:adjustRightInd w:val="0"/>
        <w:snapToGrid w:val="0"/>
        <w:spacing w:line="600" w:lineRule="exact"/>
        <w:ind w:firstLine="640" w:firstLineChars="200"/>
        <w:outlineLvl w:val="1"/>
        <w:rPr>
          <w:rFonts w:ascii="黑体" w:hAnsi="黑体" w:eastAsia="黑体"/>
          <w:bCs/>
          <w:kern w:val="0"/>
          <w:sz w:val="32"/>
          <w:szCs w:val="32"/>
        </w:rPr>
      </w:pPr>
      <w:r>
        <w:rPr>
          <w:rFonts w:hint="eastAsia" w:ascii="黑体" w:hAnsi="黑体" w:eastAsia="黑体"/>
          <w:bCs/>
          <w:kern w:val="0"/>
          <w:sz w:val="32"/>
          <w:szCs w:val="32"/>
        </w:rPr>
        <w:t>四、关于</w:t>
      </w:r>
      <w:r>
        <w:rPr>
          <w:rFonts w:hint="eastAsia" w:ascii="黑体" w:hAnsi="黑体" w:eastAsia="黑体"/>
          <w:kern w:val="0"/>
          <w:sz w:val="32"/>
          <w:szCs w:val="32"/>
          <w:lang w:eastAsia="zh-CN"/>
        </w:rPr>
        <w:t>阜康市</w:t>
      </w:r>
      <w:r>
        <w:rPr>
          <w:rFonts w:hint="eastAsia" w:ascii="黑体" w:hAnsi="黑体" w:eastAsia="黑体"/>
          <w:kern w:val="0"/>
          <w:sz w:val="32"/>
          <w:szCs w:val="32"/>
        </w:rPr>
        <w:t>税务局2019年</w:t>
      </w:r>
      <w:r>
        <w:rPr>
          <w:rFonts w:hint="eastAsia" w:ascii="黑体" w:hAnsi="黑体" w:eastAsia="黑体"/>
          <w:bCs/>
          <w:kern w:val="0"/>
          <w:sz w:val="32"/>
          <w:szCs w:val="32"/>
        </w:rPr>
        <w:t>财政拨款收支预算情况的总体说明</w:t>
      </w:r>
    </w:p>
    <w:p>
      <w:pPr>
        <w:adjustRightInd w:val="0"/>
        <w:snapToGrid w:val="0"/>
        <w:spacing w:line="600" w:lineRule="exact"/>
        <w:ind w:firstLine="640"/>
        <w:rPr>
          <w:rFonts w:ascii="仿宋_GB2312" w:hAnsi="宋体" w:eastAsia="仿宋_GB2312"/>
          <w:kern w:val="0"/>
          <w:sz w:val="32"/>
          <w:szCs w:val="32"/>
        </w:rPr>
      </w:pPr>
      <w:r>
        <w:rPr>
          <w:rFonts w:hint="eastAsia" w:ascii="仿宋_GB2312" w:hAnsi="宋体" w:eastAsia="仿宋_GB2312" w:cs="宋体"/>
          <w:kern w:val="0"/>
          <w:sz w:val="32"/>
          <w:szCs w:val="32"/>
        </w:rPr>
        <w:t>2</w:t>
      </w:r>
      <w:r>
        <w:rPr>
          <w:rFonts w:hint="eastAsia" w:ascii="仿宋_GB2312" w:hAnsi="宋体" w:eastAsia="仿宋_GB2312"/>
          <w:kern w:val="0"/>
          <w:sz w:val="32"/>
          <w:szCs w:val="32"/>
        </w:rPr>
        <w:t>019年财政拨款收支总预算842.08万元，其中2010701行政运行642.77万元，2080504未归口管理的行政单位离退休129.98万元，2080505机关事业单位基本养老保险缴费支出69.33万元。</w:t>
      </w:r>
    </w:p>
    <w:p>
      <w:pPr>
        <w:adjustRightInd w:val="0"/>
        <w:snapToGrid w:val="0"/>
        <w:spacing w:line="6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收入全部为一般公共预算拨款，无政府性基金预算拨款。</w:t>
      </w:r>
    </w:p>
    <w:p>
      <w:pPr>
        <w:adjustRightInd w:val="0"/>
        <w:snapToGrid w:val="0"/>
        <w:spacing w:line="6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支出预算包括：一般公共服务支出642.77万元，其中2010701行政运行642.77万元；社会保障与就业支出199.31万元，其中2080504未归口管理的行政单位离退休129.98万元，2080505机关事业单位基本养老保险缴费支出69.33万元。</w:t>
      </w:r>
    </w:p>
    <w:p>
      <w:pPr>
        <w:adjustRightInd w:val="0"/>
        <w:snapToGrid w:val="0"/>
        <w:spacing w:line="6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主要用于发放按照国家政策执行属地标准的工资项目，如规范津贴补贴、改革性补贴等，上述工资项目涉及的养老保险缴费、医疗保险缴费、住房公积金等单位按照规定缴存部分；按照国家政策执行地方标准的丧葬费、遗属补助等。</w:t>
      </w:r>
    </w:p>
    <w:p>
      <w:pPr>
        <w:widowControl/>
        <w:adjustRightInd w:val="0"/>
        <w:snapToGrid w:val="0"/>
        <w:spacing w:line="600" w:lineRule="exact"/>
        <w:ind w:firstLine="640" w:firstLineChars="200"/>
        <w:outlineLvl w:val="1"/>
        <w:rPr>
          <w:rFonts w:ascii="黑体" w:hAnsi="黑体" w:eastAsia="黑体"/>
          <w:kern w:val="0"/>
          <w:sz w:val="32"/>
          <w:szCs w:val="32"/>
        </w:rPr>
      </w:pPr>
      <w:r>
        <w:rPr>
          <w:rFonts w:hint="eastAsia" w:ascii="黑体" w:hAnsi="黑体" w:eastAsia="黑体"/>
          <w:kern w:val="0"/>
          <w:sz w:val="32"/>
          <w:szCs w:val="32"/>
        </w:rPr>
        <w:t>五、关于</w:t>
      </w:r>
      <w:r>
        <w:rPr>
          <w:rFonts w:hint="eastAsia" w:ascii="黑体" w:hAnsi="黑体" w:eastAsia="黑体"/>
          <w:kern w:val="0"/>
          <w:sz w:val="32"/>
          <w:szCs w:val="32"/>
          <w:lang w:eastAsia="zh-CN"/>
        </w:rPr>
        <w:t>阜康市</w:t>
      </w:r>
      <w:r>
        <w:rPr>
          <w:rFonts w:hint="eastAsia" w:ascii="黑体" w:hAnsi="黑体" w:eastAsia="黑体"/>
          <w:kern w:val="0"/>
          <w:sz w:val="32"/>
          <w:szCs w:val="32"/>
        </w:rPr>
        <w:t>税务局2019年一般公共预算当年拨款情况说明</w:t>
      </w:r>
    </w:p>
    <w:p>
      <w:pPr>
        <w:widowControl/>
        <w:adjustRightInd w:val="0"/>
        <w:snapToGrid w:val="0"/>
        <w:spacing w:line="600" w:lineRule="exact"/>
        <w:ind w:firstLine="642"/>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（一）一般公用预算当年拨款规模变化情况</w:t>
      </w:r>
    </w:p>
    <w:p>
      <w:pPr>
        <w:adjustRightInd w:val="0"/>
        <w:snapToGrid w:val="0"/>
        <w:spacing w:line="6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lang w:eastAsia="zh-CN"/>
        </w:rPr>
        <w:t>阜康市</w:t>
      </w:r>
      <w:r>
        <w:rPr>
          <w:rFonts w:hint="eastAsia" w:ascii="仿宋_GB2312" w:hAnsi="宋体" w:eastAsia="仿宋_GB2312"/>
          <w:kern w:val="0"/>
          <w:sz w:val="32"/>
          <w:szCs w:val="32"/>
        </w:rPr>
        <w:t>税务局2019年一般公共预算拨款基本支出842.08万元，比上年执行数增加</w:t>
      </w:r>
      <w:r>
        <w:rPr>
          <w:rFonts w:hint="eastAsia" w:ascii="仿宋_GB2312" w:hAnsi="宋体" w:eastAsia="仿宋_GB2312"/>
          <w:kern w:val="0"/>
          <w:sz w:val="32"/>
          <w:szCs w:val="32"/>
          <w:lang w:val="en-US" w:eastAsia="zh-CN"/>
        </w:rPr>
        <w:t>20.61</w:t>
      </w:r>
      <w:r>
        <w:rPr>
          <w:rFonts w:hint="eastAsia" w:ascii="仿宋_GB2312" w:hAnsi="宋体" w:eastAsia="仿宋_GB2312"/>
          <w:kern w:val="0"/>
          <w:sz w:val="32"/>
          <w:szCs w:val="32"/>
        </w:rPr>
        <w:t>万元，增长</w:t>
      </w:r>
      <w:r>
        <w:rPr>
          <w:rFonts w:hint="eastAsia" w:ascii="仿宋_GB2312" w:hAnsi="宋体" w:eastAsia="仿宋_GB2312"/>
          <w:kern w:val="0"/>
          <w:sz w:val="32"/>
          <w:szCs w:val="32"/>
          <w:lang w:val="en-US" w:eastAsia="zh-CN"/>
        </w:rPr>
        <w:t>2.51</w:t>
      </w:r>
      <w:r>
        <w:rPr>
          <w:rFonts w:hint="eastAsia" w:ascii="仿宋_GB2312" w:hAnsi="宋体" w:eastAsia="仿宋_GB2312"/>
          <w:kern w:val="0"/>
          <w:sz w:val="32"/>
          <w:szCs w:val="32"/>
        </w:rPr>
        <w:t>%。主要原因一是国地税征管体制改革，经费保障模式改变；二是合并后人员</w:t>
      </w:r>
      <w:r>
        <w:rPr>
          <w:rFonts w:hint="eastAsia" w:ascii="仿宋_GB2312" w:hAnsi="宋体" w:eastAsia="仿宋_GB2312" w:cs="宋体"/>
          <w:kern w:val="0"/>
          <w:sz w:val="32"/>
          <w:szCs w:val="32"/>
        </w:rPr>
        <w:t>增加</w:t>
      </w:r>
      <w:r>
        <w:rPr>
          <w:rFonts w:hint="eastAsia" w:ascii="仿宋_GB2312" w:hAnsi="宋体" w:eastAsia="仿宋_GB2312" w:cs="宋体"/>
          <w:kern w:val="0"/>
          <w:sz w:val="32"/>
          <w:szCs w:val="32"/>
          <w:lang w:val="en-US" w:eastAsia="zh-CN"/>
        </w:rPr>
        <w:t>97</w:t>
      </w:r>
      <w:r>
        <w:rPr>
          <w:rFonts w:hint="eastAsia" w:ascii="仿宋_GB2312" w:hAnsi="宋体" w:eastAsia="仿宋_GB2312" w:cs="宋体"/>
          <w:kern w:val="0"/>
          <w:sz w:val="32"/>
          <w:szCs w:val="32"/>
        </w:rPr>
        <w:t>人，其中在职增加</w:t>
      </w:r>
      <w:r>
        <w:rPr>
          <w:rFonts w:hint="eastAsia" w:ascii="仿宋_GB2312" w:eastAsia="仿宋_GB2312" w:cs="仿宋_GB2312" w:hAnsiTheme="minorHAnsi"/>
          <w:color w:val="000000"/>
          <w:kern w:val="0"/>
          <w:sz w:val="32"/>
          <w:szCs w:val="32"/>
          <w:lang w:val="en-US" w:eastAsia="zh-CN"/>
        </w:rPr>
        <w:t>56</w:t>
      </w:r>
      <w:r>
        <w:rPr>
          <w:rFonts w:hint="eastAsia" w:ascii="仿宋_GB2312" w:hAnsi="宋体" w:eastAsia="仿宋_GB2312" w:cs="宋体"/>
          <w:kern w:val="0"/>
          <w:sz w:val="32"/>
          <w:szCs w:val="32"/>
        </w:rPr>
        <w:t>人，离退休增加</w:t>
      </w:r>
      <w:r>
        <w:rPr>
          <w:rFonts w:hint="eastAsia" w:ascii="仿宋_GB2312" w:eastAsia="仿宋_GB2312" w:cs="仿宋_GB2312" w:hAnsiTheme="minorHAnsi"/>
          <w:color w:val="000000"/>
          <w:kern w:val="0"/>
          <w:sz w:val="32"/>
          <w:szCs w:val="32"/>
          <w:lang w:val="en-US" w:eastAsia="zh-CN"/>
        </w:rPr>
        <w:t>41</w:t>
      </w:r>
      <w:r>
        <w:rPr>
          <w:rFonts w:hint="eastAsia" w:ascii="仿宋_GB2312" w:hAnsi="宋体" w:eastAsia="仿宋_GB2312" w:cs="宋体"/>
          <w:kern w:val="0"/>
          <w:sz w:val="32"/>
          <w:szCs w:val="32"/>
        </w:rPr>
        <w:t>人</w:t>
      </w:r>
      <w:r>
        <w:rPr>
          <w:rFonts w:hint="eastAsia" w:ascii="仿宋_GB2312" w:hAnsi="宋体" w:eastAsia="仿宋_GB2312"/>
          <w:kern w:val="0"/>
          <w:sz w:val="32"/>
          <w:szCs w:val="32"/>
        </w:rPr>
        <w:t xml:space="preserve">。  </w:t>
      </w:r>
    </w:p>
    <w:p>
      <w:pPr>
        <w:widowControl/>
        <w:adjustRightInd w:val="0"/>
        <w:snapToGrid w:val="0"/>
        <w:spacing w:line="600" w:lineRule="exact"/>
        <w:ind w:firstLine="642"/>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adjustRightInd w:val="0"/>
        <w:snapToGrid w:val="0"/>
        <w:spacing w:line="6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1.一般公共服务（类）642.77万元，占</w:t>
      </w:r>
      <w:r>
        <w:rPr>
          <w:rFonts w:hint="eastAsia" w:ascii="仿宋_GB2312" w:hAnsi="宋体" w:eastAsia="仿宋_GB2312"/>
          <w:kern w:val="0"/>
          <w:sz w:val="32"/>
          <w:szCs w:val="32"/>
          <w:lang w:val="en-US" w:eastAsia="zh-CN"/>
        </w:rPr>
        <w:t>76.33</w:t>
      </w:r>
      <w:r>
        <w:rPr>
          <w:rFonts w:hint="eastAsia" w:ascii="仿宋_GB2312" w:hAnsi="宋体" w:eastAsia="仿宋_GB2312"/>
          <w:kern w:val="0"/>
          <w:sz w:val="32"/>
          <w:szCs w:val="32"/>
        </w:rPr>
        <w:t>%。其中2010701行政运行642.77万元。</w:t>
      </w:r>
    </w:p>
    <w:p>
      <w:pPr>
        <w:adjustRightInd w:val="0"/>
        <w:snapToGrid w:val="0"/>
        <w:spacing w:line="60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2. 社会保障与就业支出199.31万元，占2</w:t>
      </w:r>
      <w:r>
        <w:rPr>
          <w:rFonts w:hint="eastAsia" w:ascii="仿宋_GB2312" w:hAnsi="宋体" w:eastAsia="仿宋_GB2312"/>
          <w:kern w:val="0"/>
          <w:sz w:val="32"/>
          <w:szCs w:val="32"/>
          <w:lang w:val="en-US" w:eastAsia="zh-CN"/>
        </w:rPr>
        <w:t>3.67</w:t>
      </w:r>
      <w:r>
        <w:rPr>
          <w:rFonts w:hint="eastAsia" w:ascii="仿宋_GB2312" w:hAnsi="宋体" w:eastAsia="仿宋_GB2312"/>
          <w:kern w:val="0"/>
          <w:sz w:val="32"/>
          <w:szCs w:val="32"/>
        </w:rPr>
        <w:t>％。其中2080504未归口管理的行政单位离退休129.98万元，2080505机关事业单位基本养老保险缴费支出</w:t>
      </w:r>
      <w:r>
        <w:rPr>
          <w:rFonts w:hint="eastAsia" w:ascii="仿宋_GB2312" w:hAnsi="宋体" w:eastAsia="仿宋_GB2312"/>
          <w:kern w:val="0"/>
          <w:sz w:val="32"/>
          <w:szCs w:val="32"/>
          <w:lang w:val="en-US" w:eastAsia="zh-CN"/>
        </w:rPr>
        <w:t>69.33</w:t>
      </w:r>
      <w:r>
        <w:rPr>
          <w:rFonts w:hint="eastAsia" w:ascii="仿宋_GB2312" w:hAnsi="宋体" w:eastAsia="仿宋_GB2312"/>
          <w:kern w:val="0"/>
          <w:sz w:val="32"/>
          <w:szCs w:val="32"/>
        </w:rPr>
        <w:t>万元。</w:t>
      </w:r>
    </w:p>
    <w:p>
      <w:pPr>
        <w:widowControl/>
        <w:adjustRightInd w:val="0"/>
        <w:snapToGrid w:val="0"/>
        <w:spacing w:line="600" w:lineRule="exact"/>
        <w:ind w:firstLine="642"/>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widowControl/>
        <w:adjustRightInd w:val="0"/>
        <w:snapToGrid w:val="0"/>
        <w:spacing w:line="6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1.</w:t>
      </w:r>
      <w:r>
        <w:rPr>
          <w:rFonts w:ascii="仿宋_GB2312" w:hAnsi="宋体" w:eastAsia="仿宋_GB2312" w:cs="宋体"/>
          <w:kern w:val="0"/>
          <w:sz w:val="32"/>
          <w:szCs w:val="32"/>
        </w:rPr>
        <w:t>一般公共服务</w:t>
      </w:r>
      <w:r>
        <w:rPr>
          <w:rFonts w:hint="eastAsia" w:ascii="仿宋_GB2312" w:hAnsi="宋体" w:eastAsia="仿宋_GB2312" w:cs="宋体"/>
          <w:kern w:val="0"/>
          <w:sz w:val="32"/>
          <w:szCs w:val="32"/>
        </w:rPr>
        <w:t>201</w:t>
      </w:r>
      <w:r>
        <w:rPr>
          <w:rFonts w:ascii="仿宋_GB2312" w:hAnsi="宋体" w:eastAsia="仿宋_GB2312" w:cs="宋体"/>
          <w:kern w:val="0"/>
          <w:sz w:val="32"/>
          <w:szCs w:val="32"/>
        </w:rPr>
        <w:t>（类）财政事务</w:t>
      </w:r>
      <w:r>
        <w:rPr>
          <w:rFonts w:hint="eastAsia" w:ascii="仿宋_GB2312" w:hAnsi="宋体" w:eastAsia="仿宋_GB2312" w:cs="宋体"/>
          <w:kern w:val="0"/>
          <w:sz w:val="32"/>
          <w:szCs w:val="32"/>
        </w:rPr>
        <w:t>07</w:t>
      </w:r>
      <w:r>
        <w:rPr>
          <w:rFonts w:ascii="仿宋_GB2312" w:hAnsi="宋体" w:eastAsia="仿宋_GB2312" w:cs="宋体"/>
          <w:kern w:val="0"/>
          <w:sz w:val="32"/>
          <w:szCs w:val="32"/>
        </w:rPr>
        <w:t>（款）行政运行</w:t>
      </w:r>
      <w:r>
        <w:rPr>
          <w:rFonts w:hint="eastAsia" w:ascii="仿宋_GB2312" w:hAnsi="宋体" w:eastAsia="仿宋_GB2312" w:cs="宋体"/>
          <w:kern w:val="0"/>
          <w:sz w:val="32"/>
          <w:szCs w:val="32"/>
        </w:rPr>
        <w:t>02</w:t>
      </w:r>
      <w:r>
        <w:rPr>
          <w:rFonts w:ascii="仿宋_GB2312" w:hAnsi="宋体" w:eastAsia="仿宋_GB2312" w:cs="宋体"/>
          <w:kern w:val="0"/>
          <w:sz w:val="32"/>
          <w:szCs w:val="32"/>
        </w:rPr>
        <w:t>（项）:</w:t>
      </w:r>
      <w:r>
        <w:rPr>
          <w:rFonts w:hint="eastAsia" w:ascii="仿宋_GB2312" w:hAnsi="宋体" w:eastAsia="仿宋_GB2312" w:cs="宋体"/>
          <w:kern w:val="0"/>
          <w:sz w:val="32"/>
          <w:szCs w:val="32"/>
        </w:rPr>
        <w:t>2019</w:t>
      </w:r>
      <w:r>
        <w:rPr>
          <w:rFonts w:ascii="仿宋_GB2312" w:hAnsi="宋体" w:eastAsia="仿宋_GB2312" w:cs="宋体"/>
          <w:kern w:val="0"/>
          <w:sz w:val="32"/>
          <w:szCs w:val="32"/>
        </w:rPr>
        <w:t>年预算数为</w:t>
      </w:r>
      <w:r>
        <w:rPr>
          <w:rFonts w:hint="eastAsia" w:ascii="仿宋_GB2312" w:hAnsi="宋体" w:eastAsia="仿宋_GB2312"/>
          <w:kern w:val="0"/>
          <w:sz w:val="32"/>
          <w:szCs w:val="32"/>
        </w:rPr>
        <w:t>642.77</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比上年执行数</w:t>
      </w:r>
      <w:r>
        <w:rPr>
          <w:rFonts w:hint="eastAsia" w:ascii="仿宋_GB2312" w:hAnsi="宋体" w:eastAsia="仿宋_GB2312" w:cs="宋体"/>
          <w:kern w:val="0"/>
          <w:sz w:val="32"/>
          <w:szCs w:val="32"/>
          <w:lang w:eastAsia="zh-CN"/>
        </w:rPr>
        <w:t>减少</w:t>
      </w:r>
      <w:r>
        <w:rPr>
          <w:rFonts w:hint="eastAsia" w:ascii="仿宋_GB2312" w:hAnsi="宋体" w:eastAsia="仿宋_GB2312" w:cs="宋体"/>
          <w:kern w:val="0"/>
          <w:sz w:val="32"/>
          <w:szCs w:val="32"/>
          <w:lang w:val="en-US" w:eastAsia="zh-CN"/>
        </w:rPr>
        <w:t>55.55</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降幅</w:t>
      </w:r>
      <w:r>
        <w:rPr>
          <w:rFonts w:hint="eastAsia" w:ascii="仿宋_GB2312" w:hAnsi="宋体" w:eastAsia="仿宋_GB2312" w:cs="宋体"/>
          <w:kern w:val="0"/>
          <w:sz w:val="32"/>
          <w:szCs w:val="32"/>
          <w:lang w:val="en-US" w:eastAsia="zh-CN"/>
        </w:rPr>
        <w:t>8</w:t>
      </w:r>
      <w:r>
        <w:rPr>
          <w:rFonts w:hint="eastAsia" w:ascii="仿宋_GB2312" w:hAnsi="宋体" w:eastAsia="仿宋_GB2312" w:cs="宋体"/>
          <w:kern w:val="0"/>
          <w:sz w:val="32"/>
          <w:szCs w:val="32"/>
        </w:rPr>
        <w:t>%，主要原因是合并后</w:t>
      </w:r>
      <w:r>
        <w:rPr>
          <w:rFonts w:hint="eastAsia" w:ascii="仿宋_GB2312" w:hAnsi="宋体" w:eastAsia="仿宋_GB2312"/>
          <w:kern w:val="0"/>
          <w:sz w:val="32"/>
          <w:szCs w:val="32"/>
        </w:rPr>
        <w:t>经费保障模式改变</w:t>
      </w:r>
      <w:r>
        <w:rPr>
          <w:rFonts w:hint="eastAsia" w:ascii="仿宋_GB2312" w:hAnsi="宋体" w:eastAsia="仿宋_GB2312" w:cs="宋体"/>
          <w:kern w:val="0"/>
          <w:sz w:val="32"/>
          <w:szCs w:val="32"/>
        </w:rPr>
        <w:t>。</w:t>
      </w:r>
    </w:p>
    <w:p>
      <w:pPr>
        <w:adjustRightInd w:val="0"/>
        <w:snapToGrid w:val="0"/>
        <w:spacing w:line="600" w:lineRule="exact"/>
        <w:ind w:firstLine="640"/>
        <w:rPr>
          <w:rFonts w:ascii="仿宋_GB2312" w:hAnsi="宋体" w:eastAsia="仿宋_GB2312" w:cs="宋体"/>
          <w:kern w:val="0"/>
          <w:sz w:val="32"/>
          <w:szCs w:val="32"/>
        </w:rPr>
      </w:pPr>
      <w:r>
        <w:rPr>
          <w:rFonts w:hint="eastAsia" w:ascii="楷体_GB2312" w:hAnsi="宋体" w:eastAsia="楷体_GB2312" w:cs="宋体"/>
          <w:kern w:val="0"/>
          <w:sz w:val="32"/>
          <w:szCs w:val="32"/>
        </w:rPr>
        <w:t>2.</w:t>
      </w:r>
      <w:r>
        <w:rPr>
          <w:rFonts w:ascii="仿宋_GB2312" w:hAnsi="宋体" w:eastAsia="仿宋_GB2312" w:cs="宋体"/>
          <w:kern w:val="0"/>
          <w:sz w:val="32"/>
          <w:szCs w:val="32"/>
        </w:rPr>
        <w:t>一般公共服务</w:t>
      </w:r>
      <w:r>
        <w:rPr>
          <w:rFonts w:hint="eastAsia" w:ascii="仿宋_GB2312" w:hAnsi="宋体" w:eastAsia="仿宋_GB2312" w:cs="宋体"/>
          <w:kern w:val="0"/>
          <w:sz w:val="32"/>
          <w:szCs w:val="32"/>
        </w:rPr>
        <w:t>208</w:t>
      </w:r>
      <w:r>
        <w:rPr>
          <w:rFonts w:ascii="仿宋_GB2312" w:hAnsi="宋体" w:eastAsia="仿宋_GB2312" w:cs="宋体"/>
          <w:kern w:val="0"/>
          <w:sz w:val="32"/>
          <w:szCs w:val="32"/>
        </w:rPr>
        <w:t>（类）财政事务</w:t>
      </w:r>
      <w:r>
        <w:rPr>
          <w:rFonts w:hint="eastAsia" w:ascii="仿宋_GB2312" w:hAnsi="宋体" w:eastAsia="仿宋_GB2312" w:cs="宋体"/>
          <w:kern w:val="0"/>
          <w:sz w:val="32"/>
          <w:szCs w:val="32"/>
        </w:rPr>
        <w:t>05</w:t>
      </w:r>
      <w:r>
        <w:rPr>
          <w:rFonts w:ascii="仿宋_GB2312" w:hAnsi="宋体" w:eastAsia="仿宋_GB2312" w:cs="宋体"/>
          <w:kern w:val="0"/>
          <w:sz w:val="32"/>
          <w:szCs w:val="32"/>
        </w:rPr>
        <w:t>（款）</w:t>
      </w:r>
      <w:r>
        <w:rPr>
          <w:rFonts w:hint="eastAsia" w:ascii="仿宋_GB2312" w:hAnsi="宋体" w:eastAsia="仿宋_GB2312" w:cs="宋体"/>
          <w:kern w:val="0"/>
          <w:sz w:val="32"/>
          <w:szCs w:val="32"/>
        </w:rPr>
        <w:t>未归口管理的行政单位离退休04（项）：2019年预算数为199.31万元，比上年执行数增加</w:t>
      </w:r>
      <w:r>
        <w:rPr>
          <w:rFonts w:hint="eastAsia" w:ascii="仿宋_GB2312" w:hAnsi="宋体" w:eastAsia="仿宋_GB2312" w:cs="宋体"/>
          <w:kern w:val="0"/>
          <w:sz w:val="32"/>
          <w:szCs w:val="32"/>
          <w:lang w:val="en-US" w:eastAsia="zh-CN"/>
        </w:rPr>
        <w:t>160.02</w:t>
      </w:r>
      <w:r>
        <w:rPr>
          <w:rFonts w:hint="eastAsia" w:ascii="仿宋_GB2312" w:hAnsi="宋体" w:eastAsia="仿宋_GB2312" w:cs="宋体"/>
          <w:kern w:val="0"/>
          <w:sz w:val="32"/>
          <w:szCs w:val="32"/>
        </w:rPr>
        <w:t>万元，增长</w:t>
      </w:r>
      <w:r>
        <w:rPr>
          <w:rFonts w:hint="eastAsia" w:ascii="仿宋_GB2312" w:hAnsi="宋体" w:eastAsia="仿宋_GB2312" w:cs="宋体"/>
          <w:kern w:val="0"/>
          <w:sz w:val="32"/>
          <w:szCs w:val="32"/>
          <w:lang w:val="en-US" w:eastAsia="zh-CN"/>
        </w:rPr>
        <w:t>407.28</w:t>
      </w:r>
      <w:r>
        <w:rPr>
          <w:rFonts w:hint="eastAsia" w:ascii="仿宋_GB2312" w:hAnsi="宋体" w:eastAsia="仿宋_GB2312" w:cs="宋体"/>
          <w:kern w:val="0"/>
          <w:sz w:val="32"/>
          <w:szCs w:val="32"/>
        </w:rPr>
        <w:t>％。主要原因是退休人数较合并前增加</w:t>
      </w:r>
      <w:r>
        <w:rPr>
          <w:rFonts w:hint="eastAsia" w:ascii="仿宋_GB2312" w:hAnsi="宋体" w:eastAsia="仿宋_GB2312" w:cs="宋体"/>
          <w:kern w:val="0"/>
          <w:sz w:val="32"/>
          <w:szCs w:val="32"/>
          <w:lang w:val="en-US" w:eastAsia="zh-CN"/>
        </w:rPr>
        <w:t>41</w:t>
      </w:r>
      <w:r>
        <w:rPr>
          <w:rFonts w:hint="eastAsia" w:ascii="仿宋_GB2312" w:hAnsi="宋体" w:eastAsia="仿宋_GB2312" w:cs="宋体"/>
          <w:kern w:val="0"/>
          <w:sz w:val="32"/>
          <w:szCs w:val="32"/>
        </w:rPr>
        <w:t>人。</w:t>
      </w:r>
    </w:p>
    <w:p>
      <w:pPr>
        <w:adjustRightInd w:val="0"/>
        <w:snapToGrid w:val="0"/>
        <w:spacing w:line="600" w:lineRule="exact"/>
        <w:ind w:firstLine="640"/>
        <w:rPr>
          <w:rFonts w:ascii="仿宋_GB2312" w:hAnsi="宋体" w:eastAsia="仿宋_GB2312" w:cs="宋体"/>
          <w:kern w:val="0"/>
          <w:sz w:val="32"/>
          <w:szCs w:val="32"/>
        </w:rPr>
      </w:pPr>
      <w:r>
        <w:rPr>
          <w:rFonts w:hint="eastAsia" w:ascii="仿宋" w:hAnsi="仿宋" w:eastAsia="仿宋"/>
          <w:sz w:val="32"/>
          <w:szCs w:val="32"/>
          <w:lang w:val="en-US" w:eastAsia="zh-CN"/>
        </w:rPr>
        <w:t>3</w:t>
      </w:r>
      <w:r>
        <w:rPr>
          <w:rFonts w:hint="eastAsia" w:ascii="仿宋" w:hAnsi="仿宋" w:eastAsia="仿宋"/>
          <w:sz w:val="32"/>
          <w:szCs w:val="32"/>
        </w:rPr>
        <w:t>.</w:t>
      </w:r>
      <w:r>
        <w:rPr>
          <w:rFonts w:ascii="仿宋_GB2312" w:hAnsi="宋体" w:eastAsia="仿宋_GB2312" w:cs="宋体"/>
          <w:kern w:val="0"/>
          <w:sz w:val="32"/>
          <w:szCs w:val="32"/>
        </w:rPr>
        <w:t>一般公共服务</w:t>
      </w:r>
      <w:r>
        <w:rPr>
          <w:rFonts w:hint="eastAsia" w:ascii="仿宋_GB2312" w:hAnsi="宋体" w:eastAsia="仿宋_GB2312" w:cs="宋体"/>
          <w:kern w:val="0"/>
          <w:sz w:val="32"/>
          <w:szCs w:val="32"/>
        </w:rPr>
        <w:t>208</w:t>
      </w:r>
      <w:r>
        <w:rPr>
          <w:rFonts w:ascii="仿宋_GB2312" w:hAnsi="宋体" w:eastAsia="仿宋_GB2312" w:cs="宋体"/>
          <w:kern w:val="0"/>
          <w:sz w:val="32"/>
          <w:szCs w:val="32"/>
        </w:rPr>
        <w:t>（类）财政事务</w:t>
      </w:r>
      <w:r>
        <w:rPr>
          <w:rFonts w:hint="eastAsia" w:ascii="仿宋_GB2312" w:hAnsi="宋体" w:eastAsia="仿宋_GB2312" w:cs="宋体"/>
          <w:kern w:val="0"/>
          <w:sz w:val="32"/>
          <w:szCs w:val="32"/>
        </w:rPr>
        <w:t>05</w:t>
      </w:r>
      <w:r>
        <w:rPr>
          <w:rFonts w:ascii="仿宋_GB2312" w:hAnsi="宋体" w:eastAsia="仿宋_GB2312" w:cs="宋体"/>
          <w:kern w:val="0"/>
          <w:sz w:val="32"/>
          <w:szCs w:val="32"/>
        </w:rPr>
        <w:t>（款）</w:t>
      </w:r>
      <w:r>
        <w:rPr>
          <w:rFonts w:hint="eastAsia" w:ascii="仿宋_GB2312" w:hAnsi="宋体" w:eastAsia="仿宋_GB2312" w:cs="宋体"/>
          <w:kern w:val="0"/>
          <w:sz w:val="32"/>
          <w:szCs w:val="32"/>
        </w:rPr>
        <w:t>机关事业单位基本养老保险缴费支出05（项）：2019年预算数为69.33万元，比上年执行数减少</w:t>
      </w:r>
      <w:r>
        <w:rPr>
          <w:rFonts w:hint="eastAsia" w:ascii="仿宋_GB2312" w:hAnsi="宋体" w:eastAsia="仿宋_GB2312" w:cs="宋体"/>
          <w:kern w:val="0"/>
          <w:sz w:val="32"/>
          <w:szCs w:val="32"/>
          <w:lang w:val="en-US" w:eastAsia="zh-CN"/>
        </w:rPr>
        <w:t>14.51</w:t>
      </w:r>
      <w:r>
        <w:rPr>
          <w:rFonts w:hint="eastAsia" w:ascii="仿宋_GB2312" w:hAnsi="宋体" w:eastAsia="仿宋_GB2312" w:cs="宋体"/>
          <w:kern w:val="0"/>
          <w:sz w:val="32"/>
          <w:szCs w:val="32"/>
        </w:rPr>
        <w:t>万元，降低</w:t>
      </w:r>
      <w:r>
        <w:rPr>
          <w:rFonts w:hint="eastAsia" w:ascii="仿宋_GB2312" w:hAnsi="宋体" w:eastAsia="仿宋_GB2312" w:cs="宋体"/>
          <w:kern w:val="0"/>
          <w:sz w:val="32"/>
          <w:szCs w:val="32"/>
          <w:lang w:val="en-US" w:eastAsia="zh-CN"/>
        </w:rPr>
        <w:t>17.33</w:t>
      </w:r>
      <w:r>
        <w:rPr>
          <w:rFonts w:hint="eastAsia" w:ascii="仿宋_GB2312" w:hAnsi="宋体" w:eastAsia="仿宋_GB2312" w:cs="宋体"/>
          <w:kern w:val="0"/>
          <w:sz w:val="32"/>
          <w:szCs w:val="32"/>
        </w:rPr>
        <w:t>％。主要原因是自治区财政经费保障范围</w:t>
      </w:r>
      <w:r>
        <w:rPr>
          <w:rFonts w:hint="eastAsia" w:ascii="仿宋_GB2312" w:hAnsi="宋体" w:eastAsia="仿宋_GB2312" w:cs="宋体"/>
          <w:kern w:val="0"/>
          <w:sz w:val="32"/>
          <w:szCs w:val="32"/>
          <w:lang w:eastAsia="zh-CN"/>
        </w:rPr>
        <w:t>减小</w:t>
      </w:r>
      <w:r>
        <w:rPr>
          <w:rFonts w:hint="eastAsia" w:ascii="仿宋_GB2312" w:hAnsi="宋体" w:eastAsia="仿宋_GB2312" w:cs="宋体"/>
          <w:kern w:val="0"/>
          <w:sz w:val="32"/>
          <w:szCs w:val="32"/>
        </w:rPr>
        <w:t>，养老金提取基数降低。</w:t>
      </w:r>
    </w:p>
    <w:p>
      <w:pPr>
        <w:widowControl/>
        <w:adjustRightInd w:val="0"/>
        <w:snapToGrid w:val="0"/>
        <w:spacing w:line="600" w:lineRule="exact"/>
        <w:ind w:firstLine="640" w:firstLineChars="200"/>
        <w:outlineLvl w:val="1"/>
        <w:rPr>
          <w:rFonts w:ascii="黑体" w:hAnsi="黑体" w:eastAsia="黑体"/>
          <w:kern w:val="0"/>
          <w:sz w:val="32"/>
          <w:szCs w:val="32"/>
        </w:rPr>
      </w:pPr>
      <w:r>
        <w:rPr>
          <w:rFonts w:hint="eastAsia" w:ascii="黑体" w:hAnsi="黑体" w:eastAsia="黑体"/>
          <w:kern w:val="0"/>
          <w:sz w:val="32"/>
          <w:szCs w:val="32"/>
        </w:rPr>
        <w:t>六、关于</w:t>
      </w:r>
      <w:r>
        <w:rPr>
          <w:rFonts w:hint="eastAsia" w:ascii="黑体" w:hAnsi="黑体" w:eastAsia="黑体"/>
          <w:kern w:val="0"/>
          <w:sz w:val="32"/>
          <w:szCs w:val="32"/>
          <w:lang w:eastAsia="zh-CN"/>
        </w:rPr>
        <w:t>阜康市</w:t>
      </w:r>
      <w:r>
        <w:rPr>
          <w:rFonts w:hint="eastAsia" w:ascii="黑体" w:hAnsi="黑体" w:eastAsia="黑体"/>
          <w:kern w:val="0"/>
          <w:sz w:val="32"/>
          <w:szCs w:val="32"/>
        </w:rPr>
        <w:t>税务局2019年一般公共预算基本支出情况说明</w:t>
      </w:r>
    </w:p>
    <w:p>
      <w:pPr>
        <w:widowControl/>
        <w:adjustRightInd w:val="0"/>
        <w:snapToGrid w:val="0"/>
        <w:spacing w:line="600" w:lineRule="exact"/>
        <w:ind w:firstLine="640"/>
        <w:jc w:val="left"/>
        <w:rPr>
          <w:rFonts w:ascii="仿宋_GB2312" w:hAnsi="宋体" w:eastAsia="仿宋_GB2312" w:cs="宋体"/>
          <w:kern w:val="0"/>
          <w:sz w:val="32"/>
          <w:szCs w:val="32"/>
        </w:rPr>
      </w:pPr>
      <w:r>
        <w:rPr>
          <w:rFonts w:hint="eastAsia" w:ascii="仿宋_GB2312" w:hAnsi="宋体" w:eastAsia="仿宋_GB2312"/>
          <w:kern w:val="0"/>
          <w:sz w:val="32"/>
          <w:szCs w:val="32"/>
          <w:lang w:eastAsia="zh-CN"/>
        </w:rPr>
        <w:t>阜康市</w:t>
      </w:r>
      <w:r>
        <w:rPr>
          <w:rFonts w:hint="eastAsia" w:ascii="仿宋_GB2312" w:hAnsi="宋体" w:eastAsia="仿宋_GB2312"/>
          <w:kern w:val="0"/>
          <w:sz w:val="32"/>
          <w:szCs w:val="32"/>
        </w:rPr>
        <w:t>税务局2019年</w:t>
      </w:r>
      <w:r>
        <w:rPr>
          <w:rFonts w:hint="eastAsia" w:ascii="仿宋_GB2312" w:hAnsi="宋体" w:eastAsia="仿宋_GB2312" w:cs="宋体"/>
          <w:kern w:val="0"/>
          <w:sz w:val="32"/>
          <w:szCs w:val="32"/>
        </w:rPr>
        <w:t>一般公共预算基本支出842.08万元， 其中：</w:t>
      </w:r>
    </w:p>
    <w:p>
      <w:pPr>
        <w:widowControl/>
        <w:adjustRightInd w:val="0"/>
        <w:snapToGrid w:val="0"/>
        <w:spacing w:line="6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人员经费827.4万元，主要包括：规范性津贴补贴、机关事业单位基本养老保险缴费、职业年金缴费、职工基本医疗保险缴费、公务员医疗补助缴费、其他社会保障缴费、住房公积金、医疗费、其他工资福利支出、退休费、医疗费补助、奖励金、其他对个人和家庭的补助等。</w:t>
      </w:r>
    </w:p>
    <w:p>
      <w:pPr>
        <w:adjustRightInd w:val="0"/>
        <w:snapToGrid w:val="0"/>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公用经费14.68万元，</w:t>
      </w:r>
      <w:r>
        <w:rPr>
          <w:rFonts w:hint="eastAsia" w:ascii="仿宋_GB2312" w:hAnsi="宋体" w:eastAsia="仿宋_GB2312" w:cs="宋体"/>
          <w:kern w:val="0"/>
          <w:sz w:val="32"/>
          <w:szCs w:val="32"/>
          <w:lang w:eastAsia="zh-CN"/>
        </w:rPr>
        <w:t>内容</w:t>
      </w:r>
      <w:r>
        <w:rPr>
          <w:rFonts w:hint="eastAsia" w:ascii="仿宋_GB2312" w:hAnsi="宋体" w:eastAsia="仿宋_GB2312" w:cs="宋体"/>
          <w:kern w:val="0"/>
          <w:sz w:val="32"/>
          <w:szCs w:val="32"/>
        </w:rPr>
        <w:t>是职工取暖补助。</w:t>
      </w:r>
    </w:p>
    <w:p>
      <w:pPr>
        <w:widowControl/>
        <w:adjustRightInd w:val="0"/>
        <w:snapToGrid w:val="0"/>
        <w:spacing w:line="600" w:lineRule="exact"/>
        <w:ind w:firstLine="640" w:firstLineChars="200"/>
        <w:outlineLvl w:val="1"/>
        <w:rPr>
          <w:rFonts w:ascii="黑体" w:hAnsi="黑体" w:eastAsia="黑体"/>
          <w:kern w:val="0"/>
          <w:sz w:val="32"/>
          <w:szCs w:val="32"/>
        </w:rPr>
      </w:pPr>
      <w:r>
        <w:rPr>
          <w:rFonts w:hint="eastAsia" w:ascii="黑体" w:hAnsi="黑体" w:eastAsia="黑体"/>
          <w:kern w:val="0"/>
          <w:sz w:val="32"/>
          <w:szCs w:val="32"/>
        </w:rPr>
        <w:t>七、关于</w:t>
      </w:r>
      <w:r>
        <w:rPr>
          <w:rFonts w:hint="eastAsia" w:ascii="黑体" w:hAnsi="黑体" w:eastAsia="黑体"/>
          <w:kern w:val="0"/>
          <w:sz w:val="32"/>
          <w:szCs w:val="32"/>
          <w:lang w:eastAsia="zh-CN"/>
        </w:rPr>
        <w:t>阜康市</w:t>
      </w:r>
      <w:r>
        <w:rPr>
          <w:rFonts w:hint="eastAsia" w:ascii="黑体" w:hAnsi="黑体" w:eastAsia="黑体"/>
          <w:kern w:val="0"/>
          <w:sz w:val="32"/>
          <w:szCs w:val="32"/>
        </w:rPr>
        <w:t>税务局2019年项目支出情况说明</w:t>
      </w:r>
    </w:p>
    <w:p>
      <w:pPr>
        <w:widowControl/>
        <w:adjustRightInd w:val="0"/>
        <w:snapToGrid w:val="0"/>
        <w:spacing w:line="60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lang w:eastAsia="zh-CN"/>
        </w:rPr>
        <w:t>阜康市</w:t>
      </w:r>
      <w:r>
        <w:rPr>
          <w:rFonts w:hint="eastAsia" w:ascii="仿宋_GB2312" w:hAnsi="宋体" w:eastAsia="仿宋_GB2312"/>
          <w:kern w:val="0"/>
          <w:sz w:val="32"/>
          <w:szCs w:val="32"/>
        </w:rPr>
        <w:t>税务局2019年未安排项目支出，项目支出情况表为空表。</w:t>
      </w:r>
    </w:p>
    <w:p>
      <w:pPr>
        <w:widowControl/>
        <w:adjustRightInd w:val="0"/>
        <w:snapToGrid w:val="0"/>
        <w:spacing w:line="600" w:lineRule="exact"/>
        <w:ind w:firstLine="640" w:firstLineChars="200"/>
        <w:outlineLvl w:val="1"/>
        <w:rPr>
          <w:rFonts w:ascii="黑体" w:hAnsi="黑体" w:eastAsia="黑体"/>
          <w:kern w:val="0"/>
          <w:sz w:val="32"/>
          <w:szCs w:val="32"/>
        </w:rPr>
      </w:pPr>
      <w:r>
        <w:rPr>
          <w:rFonts w:hint="eastAsia" w:ascii="黑体" w:hAnsi="黑体" w:eastAsia="黑体"/>
          <w:kern w:val="0"/>
          <w:sz w:val="32"/>
          <w:szCs w:val="32"/>
        </w:rPr>
        <w:t>八、关于</w:t>
      </w:r>
      <w:r>
        <w:rPr>
          <w:rFonts w:hint="eastAsia" w:ascii="黑体" w:hAnsi="黑体" w:eastAsia="黑体"/>
          <w:kern w:val="0"/>
          <w:sz w:val="32"/>
          <w:szCs w:val="32"/>
          <w:lang w:eastAsia="zh-CN"/>
        </w:rPr>
        <w:t>阜康市</w:t>
      </w:r>
      <w:r>
        <w:rPr>
          <w:rFonts w:hint="eastAsia" w:ascii="黑体" w:hAnsi="黑体" w:eastAsia="黑体"/>
          <w:kern w:val="0"/>
          <w:sz w:val="32"/>
          <w:szCs w:val="32"/>
        </w:rPr>
        <w:t>税务局2019年一般公共预算“三公”经费预算情况说明</w:t>
      </w:r>
    </w:p>
    <w:p>
      <w:pPr>
        <w:widowControl/>
        <w:adjustRightInd w:val="0"/>
        <w:snapToGrid w:val="0"/>
        <w:spacing w:line="60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lang w:eastAsia="zh-CN"/>
        </w:rPr>
        <w:t>阜康市</w:t>
      </w:r>
      <w:r>
        <w:rPr>
          <w:rFonts w:hint="eastAsia" w:ascii="仿宋_GB2312" w:hAnsi="宋体" w:eastAsia="仿宋_GB2312"/>
          <w:kern w:val="0"/>
          <w:sz w:val="32"/>
          <w:szCs w:val="32"/>
        </w:rPr>
        <w:t>税务局2019年未安排“三公”经费预算，一般公共预算“三公”经费支出情况表为空表。</w:t>
      </w:r>
    </w:p>
    <w:p>
      <w:pPr>
        <w:widowControl/>
        <w:adjustRightInd w:val="0"/>
        <w:snapToGrid w:val="0"/>
        <w:spacing w:line="600" w:lineRule="exact"/>
        <w:ind w:firstLine="640" w:firstLineChars="200"/>
        <w:outlineLvl w:val="1"/>
        <w:rPr>
          <w:rFonts w:ascii="黑体" w:hAnsi="黑体" w:eastAsia="黑体"/>
          <w:kern w:val="0"/>
          <w:sz w:val="32"/>
          <w:szCs w:val="32"/>
        </w:rPr>
      </w:pPr>
      <w:r>
        <w:rPr>
          <w:rFonts w:hint="eastAsia" w:ascii="黑体" w:hAnsi="黑体" w:eastAsia="黑体"/>
          <w:kern w:val="0"/>
          <w:sz w:val="32"/>
          <w:szCs w:val="32"/>
        </w:rPr>
        <w:t>九、关于</w:t>
      </w:r>
      <w:r>
        <w:rPr>
          <w:rFonts w:hint="eastAsia" w:ascii="黑体" w:hAnsi="黑体" w:eastAsia="黑体"/>
          <w:kern w:val="0"/>
          <w:sz w:val="32"/>
          <w:szCs w:val="32"/>
          <w:lang w:eastAsia="zh-CN"/>
        </w:rPr>
        <w:t>阜康市</w:t>
      </w:r>
      <w:r>
        <w:rPr>
          <w:rFonts w:hint="eastAsia" w:ascii="黑体" w:hAnsi="黑体" w:eastAsia="黑体"/>
          <w:kern w:val="0"/>
          <w:sz w:val="32"/>
          <w:szCs w:val="32"/>
        </w:rPr>
        <w:t>税务局2019年政府性基金预算拨款情况说明</w:t>
      </w:r>
    </w:p>
    <w:p>
      <w:pPr>
        <w:widowControl/>
        <w:adjustRightInd w:val="0"/>
        <w:snapToGrid w:val="0"/>
        <w:spacing w:line="600" w:lineRule="exact"/>
        <w:ind w:firstLine="640"/>
        <w:jc w:val="left"/>
        <w:rPr>
          <w:rFonts w:ascii="仿宋_GB2312" w:hAnsi="宋体" w:eastAsia="仿宋_GB2312" w:cs="宋体"/>
          <w:kern w:val="0"/>
          <w:sz w:val="32"/>
          <w:szCs w:val="32"/>
        </w:rPr>
      </w:pPr>
      <w:r>
        <w:rPr>
          <w:rFonts w:hint="eastAsia" w:ascii="仿宋_GB2312" w:hAnsi="宋体" w:eastAsia="仿宋_GB2312"/>
          <w:kern w:val="0"/>
          <w:sz w:val="32"/>
          <w:szCs w:val="32"/>
          <w:lang w:eastAsia="zh-CN"/>
        </w:rPr>
        <w:t>阜康市</w:t>
      </w:r>
      <w:r>
        <w:rPr>
          <w:rFonts w:hint="eastAsia" w:ascii="仿宋_GB2312" w:hAnsi="宋体" w:eastAsia="仿宋_GB2312"/>
          <w:kern w:val="0"/>
          <w:sz w:val="32"/>
          <w:szCs w:val="32"/>
        </w:rPr>
        <w:t>税务局2019年</w:t>
      </w:r>
      <w:r>
        <w:rPr>
          <w:rFonts w:hint="eastAsia" w:ascii="仿宋_GB2312" w:hAnsi="宋体" w:eastAsia="仿宋_GB2312" w:cs="宋体"/>
          <w:kern w:val="0"/>
          <w:sz w:val="32"/>
          <w:szCs w:val="32"/>
        </w:rPr>
        <w:t>没有使用政府性基金预算拨款安排的支出，政府性基金预算支出情况表为空表。</w:t>
      </w:r>
    </w:p>
    <w:p>
      <w:pPr>
        <w:widowControl/>
        <w:adjustRightInd w:val="0"/>
        <w:snapToGrid w:val="0"/>
        <w:spacing w:line="600" w:lineRule="exact"/>
        <w:ind w:firstLine="640" w:firstLineChars="200"/>
        <w:outlineLvl w:val="1"/>
        <w:rPr>
          <w:rFonts w:ascii="黑体" w:hAnsi="黑体" w:eastAsia="黑体"/>
          <w:kern w:val="0"/>
          <w:sz w:val="32"/>
          <w:szCs w:val="32"/>
        </w:rPr>
      </w:pPr>
      <w:r>
        <w:rPr>
          <w:rFonts w:hint="eastAsia" w:ascii="黑体" w:hAnsi="黑体" w:eastAsia="黑体"/>
          <w:kern w:val="0"/>
          <w:sz w:val="32"/>
          <w:szCs w:val="32"/>
        </w:rPr>
        <w:t>十、其他重要事项的情况说明</w:t>
      </w:r>
    </w:p>
    <w:p>
      <w:pPr>
        <w:widowControl/>
        <w:adjustRightInd w:val="0"/>
        <w:snapToGrid w:val="0"/>
        <w:spacing w:line="600" w:lineRule="exact"/>
        <w:ind w:firstLine="642"/>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widowControl/>
        <w:adjustRightInd w:val="0"/>
        <w:snapToGrid w:val="0"/>
        <w:spacing w:line="60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2019年，未安排</w:t>
      </w:r>
      <w:r>
        <w:rPr>
          <w:rFonts w:hint="eastAsia" w:ascii="仿宋_GB2312" w:hAnsi="宋体" w:eastAsia="仿宋_GB2312"/>
          <w:kern w:val="0"/>
          <w:sz w:val="32"/>
          <w:szCs w:val="32"/>
          <w:lang w:eastAsia="zh-CN"/>
        </w:rPr>
        <w:t>阜康市</w:t>
      </w:r>
      <w:r>
        <w:rPr>
          <w:rFonts w:hint="eastAsia" w:ascii="仿宋_GB2312" w:hAnsi="宋体" w:eastAsia="仿宋_GB2312"/>
          <w:kern w:val="0"/>
          <w:sz w:val="32"/>
          <w:szCs w:val="32"/>
        </w:rPr>
        <w:t>税务局及下属</w:t>
      </w:r>
      <w:r>
        <w:rPr>
          <w:rFonts w:hint="eastAsia" w:ascii="仿宋_GB2312" w:hAnsi="宋体" w:eastAsia="仿宋_GB2312"/>
          <w:kern w:val="0"/>
          <w:sz w:val="32"/>
          <w:szCs w:val="32"/>
          <w:lang w:val="en-US" w:eastAsia="zh-CN"/>
        </w:rPr>
        <w:t>2</w:t>
      </w:r>
      <w:r>
        <w:rPr>
          <w:rFonts w:hint="eastAsia" w:ascii="仿宋_GB2312" w:hAnsi="宋体" w:eastAsia="仿宋_GB2312"/>
          <w:kern w:val="0"/>
          <w:sz w:val="32"/>
          <w:szCs w:val="32"/>
          <w:lang w:eastAsia="zh-CN"/>
        </w:rPr>
        <w:t>个派出机构</w:t>
      </w:r>
      <w:r>
        <w:rPr>
          <w:rFonts w:hint="eastAsia" w:ascii="仿宋_GB2312" w:hAnsi="宋体" w:eastAsia="仿宋_GB2312"/>
          <w:kern w:val="0"/>
          <w:sz w:val="32"/>
          <w:szCs w:val="32"/>
        </w:rPr>
        <w:t>、1</w:t>
      </w:r>
      <w:r>
        <w:rPr>
          <w:rFonts w:hint="eastAsia" w:ascii="仿宋_GB2312" w:hAnsi="宋体" w:eastAsia="仿宋_GB2312"/>
          <w:kern w:val="0"/>
          <w:sz w:val="32"/>
          <w:szCs w:val="32"/>
          <w:lang w:eastAsia="zh-CN"/>
        </w:rPr>
        <w:t>个</w:t>
      </w:r>
      <w:r>
        <w:rPr>
          <w:rFonts w:hint="eastAsia" w:ascii="仿宋_GB2312" w:hAnsi="宋体" w:eastAsia="仿宋_GB2312"/>
          <w:kern w:val="0"/>
          <w:sz w:val="32"/>
          <w:szCs w:val="32"/>
        </w:rPr>
        <w:t>事业单位的机关运行经费财政拨款预算。</w:t>
      </w:r>
    </w:p>
    <w:p>
      <w:pPr>
        <w:widowControl/>
        <w:adjustRightInd w:val="0"/>
        <w:snapToGrid w:val="0"/>
        <w:spacing w:line="600" w:lineRule="exact"/>
        <w:ind w:firstLine="642"/>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widowControl/>
        <w:adjustRightInd w:val="0"/>
        <w:snapToGrid w:val="0"/>
        <w:spacing w:line="600" w:lineRule="exact"/>
        <w:ind w:firstLine="642"/>
        <w:jc w:val="left"/>
        <w:rPr>
          <w:rFonts w:ascii="仿宋_GB2312" w:hAnsi="宋体" w:eastAsia="仿宋_GB2312"/>
          <w:kern w:val="0"/>
          <w:sz w:val="32"/>
          <w:szCs w:val="32"/>
        </w:rPr>
      </w:pPr>
      <w:r>
        <w:rPr>
          <w:rFonts w:hint="eastAsia" w:ascii="仿宋_GB2312" w:hAnsi="宋体" w:eastAsia="仿宋_GB2312"/>
          <w:kern w:val="0"/>
          <w:sz w:val="32"/>
          <w:szCs w:val="32"/>
        </w:rPr>
        <w:t>2019年，未安排</w:t>
      </w:r>
      <w:r>
        <w:rPr>
          <w:rFonts w:hint="eastAsia" w:ascii="仿宋_GB2312" w:hAnsi="宋体" w:eastAsia="仿宋_GB2312"/>
          <w:kern w:val="0"/>
          <w:sz w:val="32"/>
          <w:szCs w:val="32"/>
          <w:lang w:eastAsia="zh-CN"/>
        </w:rPr>
        <w:t>阜康市</w:t>
      </w:r>
      <w:r>
        <w:rPr>
          <w:rFonts w:hint="eastAsia" w:ascii="仿宋_GB2312" w:hAnsi="宋体" w:eastAsia="仿宋_GB2312"/>
          <w:kern w:val="0"/>
          <w:sz w:val="32"/>
          <w:szCs w:val="32"/>
        </w:rPr>
        <w:t>税务局政府采购预算。</w:t>
      </w:r>
    </w:p>
    <w:p>
      <w:pPr>
        <w:widowControl/>
        <w:adjustRightInd w:val="0"/>
        <w:snapToGrid w:val="0"/>
        <w:spacing w:line="600" w:lineRule="exact"/>
        <w:ind w:firstLine="642"/>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widowControl/>
        <w:adjustRightInd w:val="0"/>
        <w:snapToGrid w:val="0"/>
        <w:spacing w:line="6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截至2018年底，</w:t>
      </w:r>
      <w:r>
        <w:rPr>
          <w:rFonts w:hint="eastAsia" w:ascii="仿宋_GB2312" w:hAnsi="宋体" w:eastAsia="仿宋_GB2312"/>
          <w:kern w:val="0"/>
          <w:sz w:val="32"/>
          <w:szCs w:val="32"/>
          <w:lang w:eastAsia="zh-CN"/>
        </w:rPr>
        <w:t>阜康市</w:t>
      </w:r>
      <w:r>
        <w:rPr>
          <w:rFonts w:hint="eastAsia" w:ascii="仿宋_GB2312" w:hAnsi="宋体" w:eastAsia="仿宋_GB2312"/>
          <w:kern w:val="0"/>
          <w:sz w:val="32"/>
          <w:szCs w:val="32"/>
        </w:rPr>
        <w:t>税务局</w:t>
      </w:r>
      <w:r>
        <w:rPr>
          <w:rFonts w:hint="eastAsia" w:ascii="仿宋_GB2312" w:hAnsi="宋体" w:eastAsia="仿宋_GB2312" w:cs="宋体"/>
          <w:kern w:val="0"/>
          <w:sz w:val="32"/>
          <w:szCs w:val="32"/>
        </w:rPr>
        <w:t>占用使用国有资产总体情况为</w:t>
      </w:r>
    </w:p>
    <w:p>
      <w:pPr>
        <w:widowControl/>
        <w:adjustRightInd w:val="0"/>
        <w:snapToGrid w:val="0"/>
        <w:spacing w:line="6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1.房屋13171.03平方米，价值2339</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rPr>
        <w:t>9</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万元。</w:t>
      </w:r>
    </w:p>
    <w:p>
      <w:pPr>
        <w:widowControl/>
        <w:adjustRightInd w:val="0"/>
        <w:snapToGrid w:val="0"/>
        <w:spacing w:line="6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2.车辆</w:t>
      </w:r>
      <w:r>
        <w:rPr>
          <w:rFonts w:hint="eastAsia" w:ascii="仿宋_GB2312" w:hAnsi="宋体" w:eastAsia="仿宋_GB2312" w:cs="宋体"/>
          <w:kern w:val="0"/>
          <w:sz w:val="32"/>
          <w:szCs w:val="32"/>
          <w:lang w:val="en-US" w:eastAsia="zh-CN"/>
        </w:rPr>
        <w:t>22</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468.89</w:t>
      </w:r>
      <w:r>
        <w:rPr>
          <w:rFonts w:hint="eastAsia" w:ascii="仿宋_GB2312" w:hAnsi="宋体" w:eastAsia="仿宋_GB2312" w:cs="宋体"/>
          <w:kern w:val="0"/>
          <w:sz w:val="32"/>
          <w:szCs w:val="32"/>
        </w:rPr>
        <w:t>万元；其中：执法执勤用车</w:t>
      </w:r>
      <w:r>
        <w:rPr>
          <w:rFonts w:hint="eastAsia" w:ascii="仿宋_GB2312" w:hAnsi="宋体" w:eastAsia="仿宋_GB2312" w:cs="宋体"/>
          <w:kern w:val="0"/>
          <w:sz w:val="32"/>
          <w:szCs w:val="32"/>
          <w:lang w:val="en-US" w:eastAsia="zh-CN"/>
        </w:rPr>
        <w:t>22</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468.89</w:t>
      </w:r>
      <w:r>
        <w:rPr>
          <w:rFonts w:hint="eastAsia" w:ascii="仿宋_GB2312" w:hAnsi="宋体" w:eastAsia="仿宋_GB2312" w:cs="宋体"/>
          <w:kern w:val="0"/>
          <w:sz w:val="32"/>
          <w:szCs w:val="32"/>
        </w:rPr>
        <w:t>万元。</w:t>
      </w:r>
    </w:p>
    <w:p>
      <w:pPr>
        <w:widowControl/>
        <w:adjustRightInd w:val="0"/>
        <w:snapToGrid w:val="0"/>
        <w:spacing w:line="6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3.办公家具价值</w:t>
      </w:r>
      <w:r>
        <w:rPr>
          <w:rFonts w:hint="eastAsia" w:ascii="仿宋_GB2312" w:hAnsi="宋体" w:eastAsia="仿宋_GB2312" w:cs="宋体"/>
          <w:kern w:val="0"/>
          <w:sz w:val="32"/>
          <w:szCs w:val="32"/>
          <w:lang w:val="en-US" w:eastAsia="zh-CN"/>
        </w:rPr>
        <w:t>88.54</w:t>
      </w:r>
      <w:r>
        <w:rPr>
          <w:rFonts w:hint="eastAsia" w:ascii="仿宋_GB2312" w:hAnsi="宋体" w:eastAsia="仿宋_GB2312" w:cs="宋体"/>
          <w:kern w:val="0"/>
          <w:sz w:val="32"/>
          <w:szCs w:val="32"/>
        </w:rPr>
        <w:t>万元。</w:t>
      </w:r>
    </w:p>
    <w:p>
      <w:pPr>
        <w:widowControl/>
        <w:adjustRightInd w:val="0"/>
        <w:snapToGrid w:val="0"/>
        <w:spacing w:line="6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4.其他资产价值</w:t>
      </w:r>
      <w:r>
        <w:rPr>
          <w:rFonts w:hint="eastAsia" w:ascii="仿宋_GB2312" w:hAnsi="宋体" w:eastAsia="仿宋_GB2312" w:cs="宋体"/>
          <w:kern w:val="0"/>
          <w:sz w:val="32"/>
          <w:szCs w:val="32"/>
          <w:lang w:val="en-US" w:eastAsia="zh-CN"/>
        </w:rPr>
        <w:t>302.19</w:t>
      </w:r>
      <w:r>
        <w:rPr>
          <w:rFonts w:hint="eastAsia" w:ascii="仿宋_GB2312" w:hAnsi="宋体" w:eastAsia="仿宋_GB2312" w:cs="宋体"/>
          <w:kern w:val="0"/>
          <w:sz w:val="32"/>
          <w:szCs w:val="32"/>
        </w:rPr>
        <w:t>万元。</w:t>
      </w:r>
    </w:p>
    <w:p>
      <w:pPr>
        <w:widowControl/>
        <w:adjustRightInd w:val="0"/>
        <w:snapToGrid w:val="0"/>
        <w:spacing w:line="6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单位价值50万元以上大型设备</w:t>
      </w:r>
      <w:r>
        <w:rPr>
          <w:rFonts w:hint="eastAsia" w:ascii="仿宋_GB2312" w:hAnsi="宋体" w:eastAsia="仿宋_GB2312" w:cs="宋体"/>
          <w:kern w:val="0"/>
          <w:sz w:val="32"/>
          <w:szCs w:val="32"/>
          <w:lang w:eastAsia="zh-CN"/>
        </w:rPr>
        <w:t>无</w:t>
      </w:r>
      <w:r>
        <w:rPr>
          <w:rFonts w:hint="eastAsia" w:ascii="仿宋_GB2312" w:hAnsi="宋体" w:eastAsia="仿宋_GB2312" w:cs="宋体"/>
          <w:kern w:val="0"/>
          <w:sz w:val="32"/>
          <w:szCs w:val="32"/>
        </w:rPr>
        <w:t>，单位价值100万元以上大型设备无。</w:t>
      </w:r>
    </w:p>
    <w:p>
      <w:pPr>
        <w:widowControl/>
        <w:adjustRightInd w:val="0"/>
        <w:snapToGrid w:val="0"/>
        <w:spacing w:line="6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2019年部门预算未安排购置车辆经费、50万元以上大型设备及单位价值100万元以上大型设备经费。</w:t>
      </w:r>
    </w:p>
    <w:p>
      <w:pPr>
        <w:widowControl/>
        <w:adjustRightInd w:val="0"/>
        <w:snapToGrid w:val="0"/>
        <w:spacing w:line="600" w:lineRule="exact"/>
        <w:ind w:firstLine="642"/>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widowControl/>
        <w:adjustRightInd w:val="0"/>
        <w:snapToGrid w:val="0"/>
        <w:spacing w:line="600" w:lineRule="exact"/>
        <w:ind w:firstLine="640" w:firstLineChars="200"/>
        <w:outlineLvl w:val="1"/>
        <w:rPr>
          <w:rFonts w:ascii="仿宋_GB2312" w:hAnsi="宋体" w:eastAsia="仿宋_GB2312"/>
          <w:kern w:val="0"/>
          <w:sz w:val="32"/>
          <w:szCs w:val="32"/>
        </w:rPr>
      </w:pPr>
      <w:r>
        <w:rPr>
          <w:rFonts w:hint="eastAsia" w:ascii="仿宋_GB2312" w:hAnsi="宋体" w:eastAsia="仿宋_GB2312" w:cs="宋体"/>
          <w:kern w:val="0"/>
          <w:sz w:val="32"/>
          <w:szCs w:val="32"/>
        </w:rPr>
        <w:t>2019年，未安排</w:t>
      </w:r>
      <w:r>
        <w:rPr>
          <w:rFonts w:hint="eastAsia" w:ascii="仿宋_GB2312" w:hAnsi="宋体" w:eastAsia="仿宋_GB2312"/>
          <w:kern w:val="0"/>
          <w:sz w:val="32"/>
          <w:szCs w:val="32"/>
          <w:lang w:eastAsia="zh-CN"/>
        </w:rPr>
        <w:t>阜康市</w:t>
      </w:r>
      <w:r>
        <w:rPr>
          <w:rFonts w:hint="eastAsia" w:ascii="仿宋_GB2312" w:hAnsi="宋体" w:eastAsia="仿宋_GB2312"/>
          <w:kern w:val="0"/>
          <w:sz w:val="32"/>
          <w:szCs w:val="32"/>
        </w:rPr>
        <w:t>税务局项目支出预算。</w:t>
      </w:r>
    </w:p>
    <w:p>
      <w:pPr>
        <w:widowControl/>
        <w:adjustRightInd w:val="0"/>
        <w:snapToGrid w:val="0"/>
        <w:spacing w:line="600" w:lineRule="exact"/>
        <w:jc w:val="center"/>
        <w:outlineLvl w:val="1"/>
        <w:rPr>
          <w:rFonts w:ascii="黑体" w:hAnsi="黑体" w:eastAsia="黑体"/>
          <w:b/>
          <w:kern w:val="0"/>
          <w:sz w:val="32"/>
          <w:szCs w:val="32"/>
        </w:rPr>
      </w:pPr>
    </w:p>
    <w:p>
      <w:pPr>
        <w:widowControl/>
        <w:adjustRightInd w:val="0"/>
        <w:snapToGrid w:val="0"/>
        <w:spacing w:line="600" w:lineRule="exact"/>
        <w:jc w:val="center"/>
        <w:outlineLvl w:val="1"/>
        <w:rPr>
          <w:rFonts w:ascii="黑体" w:hAnsi="黑体" w:eastAsia="黑体"/>
          <w:b/>
          <w:kern w:val="0"/>
          <w:sz w:val="32"/>
          <w:szCs w:val="32"/>
        </w:rPr>
      </w:pPr>
      <w:r>
        <w:rPr>
          <w:rFonts w:hint="eastAsia" w:ascii="黑体" w:hAnsi="黑体" w:eastAsia="黑体"/>
          <w:b/>
          <w:kern w:val="0"/>
          <w:sz w:val="32"/>
          <w:szCs w:val="32"/>
        </w:rPr>
        <w:t>第四部分  名词解释</w:t>
      </w:r>
    </w:p>
    <w:p>
      <w:pPr>
        <w:adjustRightInd w:val="0"/>
        <w:snapToGrid w:val="0"/>
        <w:spacing w:line="60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指由一般公共预算安排的财政拨款数。</w:t>
      </w:r>
    </w:p>
    <w:p>
      <w:pPr>
        <w:adjustRightInd w:val="0"/>
        <w:snapToGrid w:val="0"/>
        <w:spacing w:line="60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z w:val="32"/>
          <w:szCs w:val="32"/>
        </w:rPr>
        <w:t>指公共财政拨款资金。</w:t>
      </w:r>
    </w:p>
    <w:p>
      <w:pPr>
        <w:adjustRightInd w:val="0"/>
        <w:snapToGrid w:val="0"/>
        <w:spacing w:line="600" w:lineRule="exact"/>
        <w:ind w:firstLine="642"/>
        <w:rPr>
          <w:rFonts w:ascii="仿宋_GB2312" w:eastAsia="仿宋_GB2312"/>
          <w:sz w:val="32"/>
          <w:szCs w:val="32"/>
        </w:rPr>
      </w:pPr>
      <w:r>
        <w:rPr>
          <w:rFonts w:hint="eastAsia" w:ascii="黑体" w:hAnsi="黑体" w:eastAsia="黑体"/>
          <w:sz w:val="32"/>
          <w:szCs w:val="32"/>
        </w:rPr>
        <w:t>三、基本支出：</w:t>
      </w:r>
      <w:r>
        <w:rPr>
          <w:rFonts w:hint="eastAsia" w:ascii="仿宋_GB2312" w:eastAsia="仿宋_GB2312"/>
          <w:sz w:val="32"/>
          <w:szCs w:val="32"/>
        </w:rPr>
        <w:t>包括人员经费、商品和服务支出（定额）。其中，人员经费包括工资福利支出、对个人和家庭的补助。</w:t>
      </w:r>
    </w:p>
    <w:p>
      <w:pPr>
        <w:adjustRightInd w:val="0"/>
        <w:snapToGrid w:val="0"/>
        <w:spacing w:line="600" w:lineRule="exact"/>
        <w:ind w:firstLine="642"/>
        <w:rPr>
          <w:rFonts w:ascii="仿宋_GB2312" w:eastAsia="仿宋_GB2312"/>
          <w:sz w:val="32"/>
          <w:szCs w:val="32"/>
        </w:rPr>
      </w:pPr>
    </w:p>
    <w:p>
      <w:pPr>
        <w:adjustRightInd w:val="0"/>
        <w:snapToGrid w:val="0"/>
        <w:spacing w:line="600" w:lineRule="exact"/>
        <w:ind w:firstLine="642"/>
        <w:rPr>
          <w:rFonts w:ascii="仿宋_GB2312" w:eastAsia="仿宋_GB2312"/>
          <w:sz w:val="32"/>
          <w:szCs w:val="32"/>
        </w:rPr>
      </w:pPr>
    </w:p>
    <w:p>
      <w:pPr>
        <w:adjustRightInd w:val="0"/>
        <w:snapToGrid w:val="0"/>
        <w:spacing w:line="600" w:lineRule="exact"/>
        <w:ind w:firstLine="3840" w:firstLineChars="1200"/>
        <w:rPr>
          <w:rFonts w:hint="eastAsia" w:ascii="仿宋_GB2312" w:eastAsia="仿宋_GB2312"/>
          <w:sz w:val="32"/>
          <w:szCs w:val="32"/>
        </w:rPr>
      </w:pPr>
    </w:p>
    <w:p>
      <w:pPr>
        <w:adjustRightInd w:val="0"/>
        <w:snapToGrid w:val="0"/>
        <w:spacing w:line="600" w:lineRule="exact"/>
        <w:ind w:firstLine="3840" w:firstLineChars="1200"/>
        <w:rPr>
          <w:rFonts w:hint="eastAsia" w:ascii="仿宋_GB2312" w:eastAsia="仿宋_GB2312"/>
          <w:sz w:val="32"/>
          <w:szCs w:val="32"/>
          <w:lang w:eastAsia="zh-CN"/>
        </w:rPr>
      </w:pPr>
      <w:bookmarkStart w:id="0" w:name="_GoBack"/>
      <w:bookmarkEnd w:id="0"/>
      <w:r>
        <w:rPr>
          <w:rFonts w:hint="eastAsia" w:ascii="仿宋_GB2312" w:eastAsia="仿宋_GB2312"/>
          <w:sz w:val="32"/>
          <w:szCs w:val="32"/>
        </w:rPr>
        <w:t>国家税务总局</w:t>
      </w:r>
      <w:r>
        <w:rPr>
          <w:rFonts w:hint="eastAsia" w:ascii="仿宋_GB2312" w:eastAsia="仿宋_GB2312"/>
          <w:sz w:val="32"/>
          <w:szCs w:val="32"/>
          <w:lang w:eastAsia="zh-CN"/>
        </w:rPr>
        <w:t>阜康市税务局</w:t>
      </w:r>
    </w:p>
    <w:p>
      <w:pPr>
        <w:adjustRightInd w:val="0"/>
        <w:snapToGrid w:val="0"/>
        <w:spacing w:line="600" w:lineRule="exact"/>
        <w:ind w:firstLine="4480" w:firstLineChars="1400"/>
        <w:rPr>
          <w:rFonts w:ascii="仿宋_GB2312" w:eastAsia="仿宋_GB2312"/>
          <w:sz w:val="32"/>
          <w:szCs w:val="32"/>
        </w:rPr>
      </w:pPr>
      <w:r>
        <w:rPr>
          <w:rFonts w:hint="eastAsia" w:ascii="仿宋_GB2312" w:eastAsia="仿宋_GB2312"/>
          <w:sz w:val="32"/>
          <w:szCs w:val="32"/>
        </w:rPr>
        <w:t>2019年</w:t>
      </w:r>
      <w:r>
        <w:rPr>
          <w:rFonts w:hint="eastAsia" w:ascii="仿宋_GB2312" w:eastAsia="仿宋_GB2312"/>
          <w:sz w:val="32"/>
          <w:szCs w:val="32"/>
          <w:lang w:val="en-US" w:eastAsia="zh-CN"/>
        </w:rPr>
        <w:t>2</w:t>
      </w:r>
      <w:r>
        <w:rPr>
          <w:rFonts w:hint="eastAsia" w:ascii="仿宋_GB2312" w:eastAsia="仿宋_GB2312"/>
          <w:sz w:val="32"/>
          <w:szCs w:val="32"/>
        </w:rPr>
        <w:t>月2</w:t>
      </w:r>
      <w:r>
        <w:rPr>
          <w:rFonts w:hint="eastAsia" w:ascii="仿宋_GB2312" w:eastAsia="仿宋_GB2312"/>
          <w:sz w:val="32"/>
          <w:szCs w:val="32"/>
          <w:lang w:val="en-US" w:eastAsia="zh-CN"/>
        </w:rPr>
        <w:t>6</w:t>
      </w:r>
      <w:r>
        <w:rPr>
          <w:rFonts w:hint="eastAsia" w:ascii="仿宋_GB2312" w:eastAsia="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01A77"/>
    <w:rsid w:val="000901AD"/>
    <w:rsid w:val="00160545"/>
    <w:rsid w:val="001919BC"/>
    <w:rsid w:val="001C790D"/>
    <w:rsid w:val="001F1D6C"/>
    <w:rsid w:val="00202563"/>
    <w:rsid w:val="002427FF"/>
    <w:rsid w:val="00271B97"/>
    <w:rsid w:val="0027338D"/>
    <w:rsid w:val="00285827"/>
    <w:rsid w:val="002C098C"/>
    <w:rsid w:val="002F504F"/>
    <w:rsid w:val="00301A77"/>
    <w:rsid w:val="003A41F5"/>
    <w:rsid w:val="00420B4B"/>
    <w:rsid w:val="004A62A8"/>
    <w:rsid w:val="0059735A"/>
    <w:rsid w:val="005B1030"/>
    <w:rsid w:val="00753E51"/>
    <w:rsid w:val="007C12AD"/>
    <w:rsid w:val="00870819"/>
    <w:rsid w:val="00894CFA"/>
    <w:rsid w:val="008B2FA1"/>
    <w:rsid w:val="008C3038"/>
    <w:rsid w:val="008D110D"/>
    <w:rsid w:val="008E0D54"/>
    <w:rsid w:val="00971F01"/>
    <w:rsid w:val="009A4351"/>
    <w:rsid w:val="00A01061"/>
    <w:rsid w:val="00B367FC"/>
    <w:rsid w:val="00B565C7"/>
    <w:rsid w:val="00BE7C40"/>
    <w:rsid w:val="00C650B4"/>
    <w:rsid w:val="00CD15C5"/>
    <w:rsid w:val="00D0203C"/>
    <w:rsid w:val="00D175B3"/>
    <w:rsid w:val="00D36535"/>
    <w:rsid w:val="00D41CCB"/>
    <w:rsid w:val="00D4339A"/>
    <w:rsid w:val="00D446C2"/>
    <w:rsid w:val="00D46F49"/>
    <w:rsid w:val="00E03CB3"/>
    <w:rsid w:val="00E066A9"/>
    <w:rsid w:val="00E22877"/>
    <w:rsid w:val="00EA1288"/>
    <w:rsid w:val="00F02945"/>
    <w:rsid w:val="00F7774A"/>
    <w:rsid w:val="00FC3AE6"/>
    <w:rsid w:val="00FE045D"/>
    <w:rsid w:val="0546669C"/>
    <w:rsid w:val="0CF012E7"/>
    <w:rsid w:val="0EB97B33"/>
    <w:rsid w:val="16412E4F"/>
    <w:rsid w:val="1782516F"/>
    <w:rsid w:val="1B4E7734"/>
    <w:rsid w:val="1EDE6BDD"/>
    <w:rsid w:val="20545B3A"/>
    <w:rsid w:val="22C46F28"/>
    <w:rsid w:val="2471579E"/>
    <w:rsid w:val="2A2B5B9F"/>
    <w:rsid w:val="2F417694"/>
    <w:rsid w:val="328C371F"/>
    <w:rsid w:val="32D56CD6"/>
    <w:rsid w:val="379F7660"/>
    <w:rsid w:val="3CD27BB1"/>
    <w:rsid w:val="3E3B7DC6"/>
    <w:rsid w:val="41AF4F05"/>
    <w:rsid w:val="42217D1A"/>
    <w:rsid w:val="459B286F"/>
    <w:rsid w:val="46710C66"/>
    <w:rsid w:val="498524CF"/>
    <w:rsid w:val="49FB62B6"/>
    <w:rsid w:val="4AF33FFB"/>
    <w:rsid w:val="537137AC"/>
    <w:rsid w:val="53D7778E"/>
    <w:rsid w:val="54205CFD"/>
    <w:rsid w:val="557F78A5"/>
    <w:rsid w:val="5B9B5C27"/>
    <w:rsid w:val="5DEA22D6"/>
    <w:rsid w:val="5E5763AF"/>
    <w:rsid w:val="5E5D1118"/>
    <w:rsid w:val="60087EDA"/>
    <w:rsid w:val="60702EC9"/>
    <w:rsid w:val="69DF332B"/>
    <w:rsid w:val="6B862307"/>
    <w:rsid w:val="705E023F"/>
    <w:rsid w:val="72AB388C"/>
    <w:rsid w:val="739F57A6"/>
    <w:rsid w:val="74C209B5"/>
    <w:rsid w:val="774E148D"/>
    <w:rsid w:val="78A277CC"/>
    <w:rsid w:val="7C3D4007"/>
    <w:rsid w:val="7FF420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6"/>
    <w:semiHidden/>
    <w:uiPriority w:val="0"/>
    <w:rPr>
      <w:sz w:val="18"/>
      <w:szCs w:val="18"/>
    </w:rPr>
  </w:style>
  <w:style w:type="paragraph" w:styleId="3">
    <w:name w:val="footer"/>
    <w:basedOn w:val="1"/>
    <w:link w:val="14"/>
    <w:qFormat/>
    <w:uiPriority w:val="99"/>
    <w:pPr>
      <w:tabs>
        <w:tab w:val="center" w:pos="4153"/>
        <w:tab w:val="right" w:pos="8306"/>
      </w:tabs>
      <w:snapToGrid w:val="0"/>
      <w:jc w:val="left"/>
    </w:pPr>
    <w:rPr>
      <w:rFonts w:eastAsia="黑体"/>
      <w:snapToGrid w:val="0"/>
      <w:kern w:val="0"/>
      <w:sz w:val="18"/>
      <w:szCs w:val="18"/>
    </w:rPr>
  </w:style>
  <w:style w:type="paragraph" w:styleId="4">
    <w:name w:val="header"/>
    <w:basedOn w:val="1"/>
    <w:link w:val="17"/>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18"/>
    <w:uiPriority w:val="0"/>
    <w:pPr>
      <w:pBdr>
        <w:top w:val="single" w:color="auto" w:sz="12" w:space="1"/>
        <w:bottom w:val="single" w:color="auto" w:sz="12" w:space="1"/>
      </w:pBdr>
      <w:spacing w:line="600" w:lineRule="exact"/>
      <w:ind w:left="1280" w:hanging="1280" w:hangingChars="400"/>
    </w:pPr>
    <w:rPr>
      <w:rFonts w:eastAsia="仿宋_GB2312"/>
      <w:sz w:val="32"/>
    </w:rPr>
  </w:style>
  <w:style w:type="paragraph" w:styleId="6">
    <w:name w:val="Normal (Web)"/>
    <w:basedOn w:val="1"/>
    <w:unhideWhenUsed/>
    <w:uiPriority w:val="0"/>
    <w:pPr>
      <w:widowControl/>
      <w:spacing w:before="100" w:beforeAutospacing="1" w:after="100" w:afterAutospacing="1"/>
      <w:jc w:val="left"/>
    </w:pPr>
    <w:rPr>
      <w:rFonts w:ascii="宋体" w:hAnsi="宋体" w:cs="宋体"/>
      <w:kern w:val="0"/>
      <w:sz w:val="24"/>
    </w:rPr>
  </w:style>
  <w:style w:type="character" w:styleId="8">
    <w:name w:val="Strong"/>
    <w:qFormat/>
    <w:uiPriority w:val="0"/>
    <w:rPr>
      <w:rFonts w:cs="Times New Roman"/>
      <w:b/>
      <w:bCs/>
    </w:rPr>
  </w:style>
  <w:style w:type="character" w:styleId="9">
    <w:name w:val="page number"/>
    <w:basedOn w:val="7"/>
    <w:uiPriority w:val="0"/>
  </w:style>
  <w:style w:type="character" w:styleId="10">
    <w:name w:val="FollowedHyperlink"/>
    <w:basedOn w:val="7"/>
    <w:semiHidden/>
    <w:unhideWhenUsed/>
    <w:uiPriority w:val="99"/>
    <w:rPr>
      <w:color w:val="800080"/>
      <w:u w:val="single"/>
    </w:rPr>
  </w:style>
  <w:style w:type="character" w:styleId="11">
    <w:name w:val="Hyperlink"/>
    <w:basedOn w:val="7"/>
    <w:semiHidden/>
    <w:unhideWhenUsed/>
    <w:uiPriority w:val="99"/>
    <w:rPr>
      <w:color w:val="0000FF"/>
      <w:u w:val="single"/>
    </w:rPr>
  </w:style>
  <w:style w:type="table" w:styleId="13">
    <w:name w:val="Table Grid"/>
    <w:basedOn w:val="12"/>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脚 Char"/>
    <w:basedOn w:val="7"/>
    <w:link w:val="3"/>
    <w:uiPriority w:val="99"/>
    <w:rPr>
      <w:rFonts w:ascii="Times New Roman" w:hAnsi="Times New Roman" w:eastAsia="黑体" w:cs="Times New Roman"/>
      <w:snapToGrid w:val="0"/>
      <w:kern w:val="0"/>
      <w:sz w:val="18"/>
      <w:szCs w:val="18"/>
    </w:rPr>
  </w:style>
  <w:style w:type="paragraph" w:customStyle="1" w:styleId="15">
    <w:name w:val="f1"/>
    <w:basedOn w:val="1"/>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16">
    <w:name w:val="批注框文本 Char"/>
    <w:basedOn w:val="7"/>
    <w:link w:val="2"/>
    <w:semiHidden/>
    <w:uiPriority w:val="0"/>
    <w:rPr>
      <w:rFonts w:ascii="Times New Roman" w:hAnsi="Times New Roman" w:eastAsia="宋体" w:cs="Times New Roman"/>
      <w:sz w:val="18"/>
      <w:szCs w:val="18"/>
    </w:rPr>
  </w:style>
  <w:style w:type="character" w:customStyle="1" w:styleId="17">
    <w:name w:val="页眉 Char"/>
    <w:basedOn w:val="7"/>
    <w:link w:val="4"/>
    <w:uiPriority w:val="0"/>
    <w:rPr>
      <w:rFonts w:ascii="Times New Roman" w:hAnsi="Times New Roman" w:eastAsia="宋体" w:cs="Times New Roman"/>
      <w:sz w:val="18"/>
      <w:szCs w:val="18"/>
    </w:rPr>
  </w:style>
  <w:style w:type="character" w:customStyle="1" w:styleId="18">
    <w:name w:val="正文文本缩进 3 Char"/>
    <w:basedOn w:val="7"/>
    <w:link w:val="5"/>
    <w:uiPriority w:val="0"/>
    <w:rPr>
      <w:rFonts w:ascii="Times New Roman" w:hAnsi="Times New Roman" w:eastAsia="仿宋_GB2312" w:cs="Times New Roman"/>
      <w:sz w:val="32"/>
      <w:szCs w:val="24"/>
    </w:rPr>
  </w:style>
  <w:style w:type="paragraph" w:styleId="19">
    <w:name w:val="List Paragraph"/>
    <w:basedOn w:val="1"/>
    <w:qFormat/>
    <w:uiPriority w:val="34"/>
    <w:pPr>
      <w:ind w:firstLine="420" w:firstLineChars="200"/>
    </w:pPr>
    <w:rPr>
      <w:rFonts w:ascii="Calibri" w:hAnsi="Calibri"/>
      <w:szCs w:val="22"/>
    </w:rPr>
  </w:style>
  <w:style w:type="paragraph" w:customStyle="1" w:styleId="20">
    <w:name w:val="普通(网站)1"/>
    <w:basedOn w:val="1"/>
    <w:qFormat/>
    <w:uiPriority w:val="0"/>
    <w:rPr>
      <w:rFonts w:ascii="Calibri" w:hAnsi="Calibri" w:cs="黑体"/>
      <w:sz w:val="24"/>
    </w:rPr>
  </w:style>
  <w:style w:type="paragraph" w:customStyle="1" w:styleId="21">
    <w:name w:val="普通(网站)2"/>
    <w:basedOn w:val="1"/>
    <w:uiPriority w:val="0"/>
    <w:rPr>
      <w:rFonts w:ascii="Calibri" w:hAnsi="Calibri" w:cs="黑体"/>
      <w:sz w:val="24"/>
    </w:rPr>
  </w:style>
  <w:style w:type="paragraph" w:customStyle="1" w:styleId="22">
    <w:name w:val="普通(网站)3"/>
    <w:basedOn w:val="1"/>
    <w:uiPriority w:val="0"/>
    <w:rPr>
      <w:rFonts w:ascii="Calibri" w:hAnsi="Calibri" w:cs="黑体"/>
      <w:sz w:val="24"/>
    </w:rPr>
  </w:style>
  <w:style w:type="paragraph" w:customStyle="1" w:styleId="23">
    <w:name w:val="Default"/>
    <w:uiPriority w:val="0"/>
    <w:pPr>
      <w:widowControl w:val="0"/>
      <w:autoSpaceDE w:val="0"/>
      <w:autoSpaceDN w:val="0"/>
      <w:adjustRightInd w:val="0"/>
    </w:pPr>
    <w:rPr>
      <w:rFonts w:ascii="仿宋_GB2312" w:eastAsia="仿宋_GB2312" w:cs="仿宋_GB2312" w:hAnsiTheme="minorHAnsi"/>
      <w:color w:val="000000"/>
      <w:kern w:val="0"/>
      <w:sz w:val="24"/>
      <w:szCs w:val="24"/>
      <w:lang w:val="en-US" w:eastAsia="zh-CN" w:bidi="ar-SA"/>
    </w:rPr>
  </w:style>
  <w:style w:type="paragraph" w:customStyle="1" w:styleId="24">
    <w:name w:val="font0"/>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25">
    <w:name w:val="xl79"/>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6">
    <w:name w:val="xl80"/>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7">
    <w:name w:val="xl81"/>
    <w:basedOn w:val="1"/>
    <w:qFormat/>
    <w:uiPriority w:val="0"/>
    <w:pPr>
      <w:widowControl/>
      <w:pBdr>
        <w:top w:val="single" w:color="auto" w:sz="4" w:space="0"/>
        <w:left w:val="single" w:color="000000" w:sz="4" w:space="0"/>
        <w:bottom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28">
    <w:name w:val="xl82"/>
    <w:basedOn w:val="1"/>
    <w:uiPriority w:val="0"/>
    <w:pPr>
      <w:widowControl/>
      <w:pBdr>
        <w:top w:val="single" w:color="auto" w:sz="4" w:space="0"/>
        <w:left w:val="single" w:color="000000" w:sz="4" w:space="0"/>
        <w:bottom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29">
    <w:name w:val="xl83"/>
    <w:basedOn w:val="1"/>
    <w:uiPriority w:val="0"/>
    <w:pPr>
      <w:widowControl/>
      <w:pBdr>
        <w:top w:val="single" w:color="auto"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宋体"/>
      <w:kern w:val="0"/>
      <w:sz w:val="24"/>
    </w:rPr>
  </w:style>
  <w:style w:type="paragraph" w:customStyle="1" w:styleId="30">
    <w:name w:val="xl84"/>
    <w:basedOn w:val="1"/>
    <w:uiPriority w:val="0"/>
    <w:pPr>
      <w:widowControl/>
      <w:pBdr>
        <w:top w:val="single" w:color="auto"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宋体"/>
      <w:kern w:val="0"/>
      <w:sz w:val="24"/>
    </w:rPr>
  </w:style>
  <w:style w:type="paragraph" w:customStyle="1" w:styleId="31">
    <w:name w:val="xl85"/>
    <w:basedOn w:val="1"/>
    <w:uiPriority w:val="0"/>
    <w:pPr>
      <w:widowControl/>
      <w:pBdr>
        <w:top w:val="single" w:color="auto"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cs="宋体"/>
      <w:kern w:val="0"/>
      <w:sz w:val="24"/>
    </w:rPr>
  </w:style>
  <w:style w:type="paragraph" w:customStyle="1" w:styleId="32">
    <w:name w:val="xl8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33">
    <w:name w:val="xl8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34">
    <w:name w:val="xl88"/>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35">
    <w:name w:val="xl89"/>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4"/>
    </w:rPr>
  </w:style>
  <w:style w:type="paragraph" w:customStyle="1" w:styleId="36">
    <w:name w:val="xl90"/>
    <w:basedOn w:val="1"/>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37">
    <w:name w:val="xl91"/>
    <w:basedOn w:val="1"/>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38">
    <w:name w:val="xl92"/>
    <w:basedOn w:val="1"/>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39">
    <w:name w:val="xl9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40">
    <w:name w:val="xl9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41">
    <w:name w:val="xl9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42">
    <w:name w:val="xl9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43">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44">
    <w:name w:val="xl9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45">
    <w:name w:val="xl99"/>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46">
    <w:name w:val="xl10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47">
    <w:name w:val="xl10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48">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49">
    <w:name w:val="font5"/>
    <w:basedOn w:val="1"/>
    <w:qFormat/>
    <w:uiPriority w:val="0"/>
    <w:pPr>
      <w:widowControl/>
      <w:spacing w:before="100" w:beforeAutospacing="1" w:after="100" w:afterAutospacing="1"/>
      <w:jc w:val="left"/>
    </w:pPr>
    <w:rPr>
      <w:rFonts w:ascii="宋体" w:hAnsi="宋体" w:cs="宋体"/>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45464B-3576-4CD2-A18C-C7FC6C8CFA27}">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34797</Words>
  <Characters>198349</Characters>
  <Lines>1652</Lines>
  <Paragraphs>465</Paragraphs>
  <TotalTime>4</TotalTime>
  <ScaleCrop>false</ScaleCrop>
  <LinksUpToDate>false</LinksUpToDate>
  <CharactersWithSpaces>232681</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2019-01-23T11:52:00Z</dcterms:created>
  <dc:creator>唐琛</dc:creator>
  <cp:lastModifiedBy>罗佳</cp:lastModifiedBy>
  <cp:lastPrinted>2019-01-28T08:19:00Z</cp:lastPrinted>
  <dcterms:modified xsi:type="dcterms:W3CDTF">2019-02-26T09:28:39Z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